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PartName="/word/upbHeader.xml" ContentType="application/vnd.openxmlformats-officedocument.wordprocessingml.header+xml"/>
  <Override PartName="/word/upb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0"/>
          <w:szCs w:val="30"/>
        </w:rPr>
        <w:t xml:space="preserve">PROCEDURA ȘI CRITERIILE DE SELECȚIE A PARTENERULUI PRIVAT</w:t>
      </w:r>
    </w:p>
    <w:p>
      <w:pPr>
        <w:spacing w:after="200"/>
        <w:jc w:val="center"/>
      </w:pPr>
      <w:r>
        <w:rPr>
          <w:i/>
          <w:iCs/>
          <w:sz w:val="24"/>
          <w:szCs w:val="24"/>
        </w:rPr>
        <w:t xml:space="preserve">„ACADEMIA — Adaptarea Cadrelor Didactice la Educație Modernă și Inteligență Artificială"</w:t>
      </w:r>
    </w:p>
    <w:p>
      <w:pPr>
        <w:spacing w:after="100"/>
        <w:jc w:val="center"/>
      </w:pPr>
      <w:r>
        <w:rPr>
          <w:b w:val="false"/>
          <w:bCs w:val="false"/>
          <w:i w:val="false"/>
          <w:iCs w:val="false"/>
          <w:sz w:val="20"/>
          <w:szCs w:val="20"/>
        </w:rPr>
        <w:t xml:space="preserve">Programul Educație și Ocupare (PEO) 2021–2027, Prioritatea 11 — STEP, Obiectiv specific ESO4.7, apelul „STEP-LLL — Competențe pentru viitor: formare la locul de muncă și educația adulților în tehnologiile critice — Adulți", tip de acțiune 11.g.1</w:t>
      </w:r>
    </w:p>
    <w:p>
      <w:pPr>
        <w:spacing w:after="100"/>
        <w:jc w:val="both"/>
      </w:pPr>
      <w:r>
        <w:rPr>
          <w:b w:val="false"/>
          <w:bCs w:val="false"/>
          <w:i/>
          <w:iCs/>
        </w:rPr>
        <w:t xml:space="preserve">Prezenta procedură se aplică împreună cu anunțul de selecție publicat la 12.08.2026, cu Metodologia privind selecția partenerilor pentru proiectele finanțate din fonduri europene al căror beneficiar este Universitatea Națională de Știință și Tehnologie POLITEHNICA București (HS nr. 5/20.01.2020) și cu Anexa 2 la Ghidul Solicitantului — Condiții Generale PEO 2021–2027. Conținutul cerințelor, al grilelor și al calendarului este identic cu cel publicat în anunțul de selecție.</w:t>
      </w:r>
    </w:p>
    <w:p>
      <w:pPr>
        <w:pStyle w:val="Heading1"/>
        <w:spacing w:after="120" w:before="260"/>
      </w:pPr>
      <w:r>
        <w:t xml:space="preserve">1. Temei legal și principii</w:t>
      </w:r>
    </w:p>
    <w:p>
      <w:pPr>
        <w:pStyle w:val="ListParagraph"/>
        <w:numPr>
          <w:ilvl w:val="0"/>
          <w:numId w:val="2"/>
        </w:numPr>
        <w:spacing w:after="60"/>
        <w:jc w:val="both"/>
      </w:pPr>
      <w:r>
        <w:rPr>
          <w:b w:val="false"/>
          <w:bCs w:val="false"/>
          <w:i w:val="false"/>
          <w:iCs w:val="false"/>
        </w:rPr>
        <w:t xml:space="preserve">Art. 33 și 34 din Ordonanța de urgență a Guvernului nr. 133/2021;</w:t>
      </w:r>
    </w:p>
    <w:p>
      <w:pPr>
        <w:pStyle w:val="ListParagraph"/>
        <w:numPr>
          <w:ilvl w:val="0"/>
          <w:numId w:val="2"/>
        </w:numPr>
        <w:spacing w:after="60"/>
        <w:jc w:val="both"/>
      </w:pPr>
      <w:r>
        <w:rPr>
          <w:b w:val="false"/>
          <w:bCs w:val="false"/>
          <w:i w:val="false"/>
          <w:iCs w:val="false"/>
        </w:rPr>
        <w:t xml:space="preserve">Art. 46 alin. (7) și (8) din Hotărârea Guvernului nr. 829/2022;</w:t>
      </w:r>
    </w:p>
    <w:p>
      <w:pPr>
        <w:pStyle w:val="ListParagraph"/>
        <w:numPr>
          <w:ilvl w:val="0"/>
          <w:numId w:val="2"/>
        </w:numPr>
        <w:spacing w:after="60"/>
        <w:jc w:val="both"/>
      </w:pPr>
      <w:r>
        <w:rPr>
          <w:b w:val="false"/>
          <w:bCs w:val="false"/>
          <w:i w:val="false"/>
          <w:iCs w:val="false"/>
        </w:rPr>
        <w:t xml:space="preserve">Ghidul Solicitantului — Condiții Generale PEO 2021–2027, inclusiv Anexa 2;</w:t>
      </w:r>
    </w:p>
    <w:p>
      <w:pPr>
        <w:pStyle w:val="ListParagraph"/>
        <w:numPr>
          <w:ilvl w:val="0"/>
          <w:numId w:val="2"/>
        </w:numPr>
        <w:spacing w:after="60"/>
        <w:jc w:val="both"/>
      </w:pPr>
      <w:r>
        <w:rPr>
          <w:b w:val="false"/>
          <w:bCs w:val="false"/>
          <w:i w:val="false"/>
          <w:iCs w:val="false"/>
        </w:rPr>
        <w:t xml:space="preserve">Ghidul Solicitantului — Condiții Specifice aferent apelului „STEP-LLL — Competențe pentru viitor (Adulți)";</w:t>
      </w:r>
    </w:p>
    <w:p>
      <w:pPr>
        <w:pStyle w:val="ListParagraph"/>
        <w:numPr>
          <w:ilvl w:val="0"/>
          <w:numId w:val="2"/>
        </w:numPr>
        <w:spacing w:after="60"/>
        <w:jc w:val="both"/>
      </w:pPr>
      <w:r>
        <w:rPr>
          <w:b w:val="false"/>
          <w:bCs w:val="false"/>
          <w:i w:val="false"/>
          <w:iCs w:val="false"/>
        </w:rPr>
        <w:t xml:space="preserve">Metodologia POLITEHNICA București, aprobată prin HS nr. 5/20.01.2020.</w:t>
      </w:r>
    </w:p>
    <w:p>
      <w:pPr>
        <w:spacing w:after="100"/>
        <w:jc w:val="both"/>
      </w:pPr>
      <w:r>
        <w:rPr>
          <w:b w:val="false"/>
          <w:bCs w:val="false"/>
          <w:i w:val="false"/>
          <w:iCs w:val="false"/>
        </w:rPr>
        <w:t xml:space="preserve">Principii: transparența, nediscriminarea, tratamentul egal, eficiența utilizării fondurilor, legalitatea și trasabilitatea.</w:t>
      </w:r>
    </w:p>
    <w:p>
      <w:pPr>
        <w:pStyle w:val="Heading1"/>
        <w:spacing w:after="120" w:before="260"/>
      </w:pPr>
      <w:r>
        <w:t xml:space="preserve">2. Obiectul procedurii și activitățile alocate partenerului</w:t>
      </w:r>
    </w:p>
    <w:p>
      <w:pPr>
        <w:spacing w:after="100"/>
        <w:jc w:val="both"/>
      </w:pPr>
      <w:r>
        <w:rPr>
          <w:b w:val="false"/>
          <w:bCs w:val="false"/>
          <w:i w:val="false"/>
          <w:iCs w:val="false"/>
        </w:rPr>
        <w:t xml:space="preserve">Se selectează o singură entitate privată, în calitate de partener, pentru depunerea și, dacă este cazul, implementarea proiectului. Se încheie un singur acord de parteneriat.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shd w:fill="D9E2F3" w:val="clear"/>
            <w:tcMar>
              <w:top w:type="dxa" w:w="60"/>
              <w:left w:type="dxa" w:w="100"/>
              <w:bottom w:type="dxa" w:w="60"/>
              <w:right w:type="dxa" w:w="100"/>
            </w:tcMar>
          </w:tcPr>
          <w:p>
            <w:pPr>
              <w:spacing w:after="40"/>
            </w:pPr>
            <w:r>
              <w:rPr>
                <w:b/>
                <w:bCs/>
                <w:i w:val="false"/>
                <w:iCs w:val="false"/>
                <w:sz w:val="20"/>
                <w:szCs w:val="20"/>
              </w:rPr>
              <w:t xml:space="preserve">Activitate</w:t>
            </w:r>
          </w:p>
        </w:tc>
        <w:tc>
          <w:tcPr>
            <w:tcW w:type="dxa" w:w="6426"/>
            <w:shd w:fill="D9E2F3" w:val="clear"/>
            <w:tcMar>
              <w:top w:type="dxa" w:w="60"/>
              <w:left w:type="dxa" w:w="100"/>
              <w:bottom w:type="dxa" w:w="60"/>
              <w:right w:type="dxa" w:w="100"/>
            </w:tcMar>
          </w:tcPr>
          <w:p>
            <w:pPr>
              <w:spacing w:after="40"/>
            </w:pPr>
            <w:r>
              <w:rPr>
                <w:b/>
                <w:bCs/>
                <w:i w:val="false"/>
                <w:iCs w:val="false"/>
                <w:sz w:val="20"/>
                <w:szCs w:val="20"/>
              </w:rPr>
              <w:t xml:space="preserve">Conținut</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A0. Managementul proiectului, informarea și publicitatea</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Activitate transversală: managementul tehnic și financiar, coordonarea parteneriatului, monitorizarea și raportarea, informarea și publicitatea.</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A1. Identificarea, recrutarea, selecția și menținerea grupului-țintă</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Campanii de informare și promovare, anunțuri de recrutare, colectarea și verificarea documentelor de eligibilitate, înregistrarea în grupul-țintă, măsuri de menținere și de prevenire a abandonului. (Codificare internă a proiectului; nu este activitatea A1 pentru șomeri din Ghidul Solicitantului — Condiții Specifice, întrucât grupul-țintă este format exclusiv din persoane angajate.)</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A2.1. Furnizarea programelor de formare în tehnologii critice</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Trei programe de specializare autorizate potrivit Ordonanței Guvernului nr. 129/2000, de câte 180 de ore fiecare (90 de ore trunchi comun identic + 90 de ore de specializare: ruta didactică pentru învățământul preuniversitar; ruta pentru învățământul superior și cercetare; ruta tehnică), finalizate cu certificat de absolvire cu recunoaștere națională. Pentru programele adresate personalului didactic din învățământul preuniversitar se urmărește, suplimentar, acreditarea în sistemul Ministerului Educației și Cercetării. Autorizarea, dezvoltarea și livrarea programelor revin EXCLUSIV liderului de parteneriat, în calitate de furnizor de formare profesională a adulților autorizat; subactivitatea se decontează pe cost unitar și nu este deschisă partenerului.</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A2.2. Formarea la locul de muncă</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Aplicare practică în procese reale de muncă, în instituția de învățământ în care participantul este angajat, pe bază de protocol instituțional, cu tutore desemnat (orientativ un tutore la zece participanți), 60 de ore suplimentare pentru fiecare participant, pentru întregul grup-țintă. Se decontează pe costuri reale.</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A3. Mentorat profesional și schimb de bune practici</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Comunități de practică, sesiuni de mentorat pe cohorte, schimburi de experiență interregionale și internaționale, conferințe naționale, ghid de bune practici și resurse educaționale deschise.</w:t>
            </w:r>
          </w:p>
        </w:tc>
      </w:tr>
    </w:tbl>
    <w:p>
      <w:pPr>
        <w:spacing w:after="100"/>
        <w:jc w:val="both"/>
      </w:pPr>
      <w:r>
        <w:rPr>
          <w:b/>
          <w:bCs/>
          <w:i w:val="false"/>
          <w:iCs w:val="false"/>
        </w:rPr>
        <w:t xml:space="preserve">Activitățile în care va fi implicat partenerul, fără a se limita la acestea: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shd w:fill="D9E2F3" w:val="clear"/>
            <w:tcMar>
              <w:top w:type="dxa" w:w="60"/>
              <w:left w:type="dxa" w:w="100"/>
              <w:bottom w:type="dxa" w:w="60"/>
              <w:right w:type="dxa" w:w="100"/>
            </w:tcMar>
          </w:tcPr>
          <w:p>
            <w:pPr>
              <w:spacing w:after="40"/>
            </w:pPr>
            <w:r>
              <w:rPr>
                <w:b/>
                <w:bCs/>
                <w:i w:val="false"/>
                <w:iCs w:val="false"/>
                <w:sz w:val="20"/>
                <w:szCs w:val="20"/>
              </w:rPr>
              <w:t xml:space="preserve">Activitate</w:t>
            </w:r>
          </w:p>
        </w:tc>
        <w:tc>
          <w:tcPr>
            <w:tcW w:type="dxa" w:w="6426"/>
            <w:shd w:fill="D9E2F3" w:val="clear"/>
            <w:tcMar>
              <w:top w:type="dxa" w:w="60"/>
              <w:left w:type="dxa" w:w="100"/>
              <w:bottom w:type="dxa" w:w="60"/>
              <w:right w:type="dxa" w:w="100"/>
            </w:tcMar>
          </w:tcPr>
          <w:p>
            <w:pPr>
              <w:spacing w:after="40"/>
            </w:pPr>
            <w:r>
              <w:rPr>
                <w:b/>
                <w:bCs/>
                <w:i w:val="false"/>
                <w:iCs w:val="false"/>
                <w:sz w:val="20"/>
                <w:szCs w:val="20"/>
              </w:rPr>
              <w:t xml:space="preserve">Rolul partenerului</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A0. Managementul proiectului, informarea și publicitatea</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Co-managementul propriei componente: coordonarea echipei proprii, execuția bugetului propriu, raportarea tehnică și financiară către lider, contribuția la informarea și publicitatea proiectului, diseminarea prin canalele proprii de comunicare cu membrii.</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A1. Identificarea, recrutarea, selecția și menținerea grupului-țintă</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RESPONSABILITATEA PRINCIPALĂ pentru mobilizarea, recrutarea și menținerea grupului-țintă, la nivel național, cu o țintă operațională estimată de minimum 90% din totalul de 2.100 de participanți (aproximativ 1.260 de persoane din învățământul preuniversitar și 630 din învățământul superior): campanii prin structurile și canalele proprii, colectarea documentelor de eligibilitate, evidența înscrierilor, măsuri de menținere și de prevenire a abandonului. Diferența până la ținta totală este acoperită de liderul de parteneriat.</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A2.2. Formarea la locul de muncă — componenta organizatorică și logistică</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Constituirea și menținerea rețelei naționale de instituții-gazdă, facilitarea încheierii protocoalelor instituționale, sprijinul pentru desemnarea tutorilor, organizarea fluxului documentelor de stagiu pentru cele 2.100 de dosare, planificarea celor aproximativ 210 cohorte de practică, evidența participării și monitorizarea administrativă, inclusiv prin experți regionali. Metodologia, instruirea tutorilor, tutoratul de specialitate, evaluarea competențelor și validarea rezultatelor rămân în responsabilitatea liderului de parteneriat.</w:t>
            </w:r>
          </w:p>
        </w:tc>
      </w:tr>
      <w:tr>
        <w:tc>
          <w:tcPr>
            <w:tcW w:type="dxa" w:w="2600"/>
            <w:tcMar>
              <w:top w:type="dxa" w:w="60"/>
              <w:left w:type="dxa" w:w="100"/>
              <w:bottom w:type="dxa" w:w="60"/>
              <w:right w:type="dxa" w:w="100"/>
            </w:tcMar>
          </w:tcPr>
          <w:p>
            <w:pPr>
              <w:spacing w:after="40"/>
            </w:pPr>
            <w:r>
              <w:rPr>
                <w:b w:val="false"/>
                <w:bCs w:val="false"/>
                <w:i w:val="false"/>
                <w:iCs w:val="false"/>
                <w:sz w:val="20"/>
                <w:szCs w:val="20"/>
              </w:rPr>
              <w:t xml:space="preserve">A3. Mentorat profesional și schimb de bune practici</w:t>
            </w:r>
          </w:p>
        </w:tc>
        <w:tc>
          <w:tcPr>
            <w:tcW w:type="dxa" w:w="6426"/>
            <w:tcMar>
              <w:top w:type="dxa" w:w="60"/>
              <w:left w:type="dxa" w:w="100"/>
              <w:bottom w:type="dxa" w:w="60"/>
              <w:right w:type="dxa" w:w="100"/>
            </w:tcMar>
          </w:tcPr>
          <w:p>
            <w:pPr>
              <w:spacing w:after="40"/>
            </w:pPr>
            <w:r>
              <w:rPr>
                <w:b w:val="false"/>
                <w:bCs w:val="false"/>
                <w:i w:val="false"/>
                <w:iCs w:val="false"/>
                <w:sz w:val="20"/>
                <w:szCs w:val="20"/>
              </w:rPr>
              <w:t xml:space="preserve">Organizarea și animarea comunităților de practică, organizarea schimburilor de experiență interregionale și internaționale și a conferințelor, co-organizarea sesiunilor de mentorat, logistica evenimentelor, contribuția la ghidul de bune practici și la sustenabilitatea comunităților după finalizarea proiectului. Conținutul tehnic și mentorii de specialitate sunt asigurați de liderul de parteneriat.</w:t>
            </w:r>
          </w:p>
        </w:tc>
      </w:tr>
    </w:tbl>
    <w:p>
      <w:pPr>
        <w:spacing w:after="100"/>
        <w:jc w:val="both"/>
      </w:pPr>
      <w:r>
        <w:rPr>
          <w:b w:val="false"/>
          <w:bCs w:val="false"/>
          <w:i/>
          <w:iCs/>
        </w:rPr>
        <w:t xml:space="preserve">Partenerul nu furnizează programele de formare din activitatea A2.1 — acestea sunt programe de specializare autorizate conform Ordonanței Guvernului nr. 129/2000, care pot fi livrate exclusiv de furnizorul de formare autorizat din parteneriat, respectiv de liderul de parteneriat. Prin urmare, candidaților NU li se solicită calitatea de furnizor de formare profesională autorizat. Partenerul nu poate fi selectat pentru a presta servicii sau a furniza bunuri care fac obiectul legislației privind achizițiile publice (de exemplu, dezvoltarea de aplicații sau sisteme informatice, servicii hoteliere, furnizarea de bunuri, supervizarea subcontractanților). Partenerul poate include în bugetul activităților proprii cheltuieli eligibile de deplasare, logistică și servicii-suport necesare activităților sale, achiziționate conform regulilor aplicabile.</w:t>
      </w:r>
    </w:p>
    <w:p>
      <w:pPr>
        <w:spacing w:after="100"/>
        <w:jc w:val="both"/>
      </w:pPr>
      <w:r>
        <w:rPr>
          <w:b/>
          <w:bCs/>
          <w:i w:val="false"/>
          <w:iCs w:val="false"/>
        </w:rPr>
        <w:t xml:space="preserve">ELIGIBILITATEA GRUPULUI-ȚINTĂ. Grupul-țintă este format din PERSOANE ANGAJATE din domeniul educației, cu vârsta de PESTE 29 DE ANI — personal didactic din învățământul preuniversitar și din învățământul superior. Categoria este eligibilă potrivit Ghidului Solicitantului — Condiții Specifice, care definește grupul-țintă prin raportare la statutul de persoană angajată și la vârstă, fără restricție privind sectorul de activitate, cu condiția ca programele de formare să fie RELEVANTE pentru activitatea profesională curentă a participanților, respectiv pentru procesele de lucru pe care aceștia le desfășoară în mod obișnuit. Relevanța este asigurată prin construcția celor trei programe de specializare, ale căror produse de învățare se realizează pe activitatea reală a participantului, și prin cele 60 de ore din activitatea A2.2, care se desfășoară exclusiv în procese reale de muncă, în instituția angajatoare.</w:t>
      </w:r>
    </w:p>
    <w:p>
      <w:pPr>
        <w:spacing w:after="100"/>
        <w:jc w:val="both"/>
      </w:pPr>
      <w:r>
        <w:rPr>
          <w:b w:val="false"/>
          <w:bCs w:val="false"/>
          <w:i w:val="false"/>
          <w:iCs w:val="false"/>
        </w:rPr>
        <w:t xml:space="preserve">Proiectul are acoperire națională: regiunea București-Ilfov și cele șapte regiuni mai puțin dezvoltate. Durata maximă permisă de apel este de 36 de luni; durata estimată a proiectului este de 30 de luni. Valoarea totală estimată a proiectului: 4.999.378 euro; bugetul maxim alocat partenerului: 1.750.000 euro (echivalent orientativ 8.921.675 lei, la cursul de planificare de 5,0981 lei/euro), repartizat orientativ astfel: A0 — circa 126.000 euro; A1 — circa 466.000 euro; A2.2 — circa 486.000 euro; A3 — circa 669.000 euro. Candidații își dimensionează echipa, graficul de activități și analiza de costuri în limita acestui plafon. Durata contractelor experților partenerului poate fi de până la 30 de luni.</w:t>
      </w:r>
    </w:p>
    <w:p>
      <w:pPr>
        <w:pStyle w:val="Heading1"/>
        <w:spacing w:after="120" w:before="260"/>
      </w:pPr>
      <w:r>
        <w:t xml:space="preserve">3. Tipul organizației partenere și justificarea cerinței</w:t>
      </w:r>
    </w:p>
    <w:p>
      <w:pPr>
        <w:spacing w:after="100"/>
        <w:jc w:val="both"/>
      </w:pPr>
      <w:r>
        <w:rPr>
          <w:b/>
          <w:bCs/>
          <w:i w:val="false"/>
          <w:iCs w:val="false"/>
        </w:rPr>
        <w:t xml:space="preserve">Se selectează o organizație sindicală din domeniul educației — federație sindicală sau confederație sindicală, cu personalitate juridică proprie, constituită potrivit legislației dialogului social. Cerința se întemeiază pe următoarele considerente:</w:t>
      </w:r>
    </w:p>
    <w:p>
      <w:pPr>
        <w:pStyle w:val="ListParagraph"/>
        <w:numPr>
          <w:ilvl w:val="0"/>
          <w:numId w:val="2"/>
        </w:numPr>
        <w:spacing w:after="60"/>
        <w:jc w:val="both"/>
      </w:pPr>
      <w:r>
        <w:rPr>
          <w:b w:val="false"/>
          <w:bCs w:val="false"/>
          <w:i w:val="false"/>
          <w:iCs w:val="false"/>
        </w:rPr>
        <w:t xml:space="preserve">Categoria este prevăzută expres între categoriile de parteneri eligibili din Ghidul Solicitantului — Condiții Specifice (secțiunea 5.1.3: „Confederații sindicale și patronale cu personalitate juridică proprie constituite în baza prevederilor legale"; „Federații sindicale/patronale"). Prin urmare, cerința nu introduce o categorie nouă, ci selectează, dintre categoriile deja eligibile, pe aceea care corespunde funcțional nevoilor proiectului.</w:t>
      </w:r>
    </w:p>
    <w:p>
      <w:pPr>
        <w:pStyle w:val="ListParagraph"/>
        <w:numPr>
          <w:ilvl w:val="0"/>
          <w:numId w:val="2"/>
        </w:numPr>
        <w:spacing w:after="60"/>
        <w:jc w:val="both"/>
      </w:pPr>
      <w:r>
        <w:rPr>
          <w:b w:val="false"/>
          <w:bCs w:val="false"/>
          <w:i w:val="false"/>
          <w:iCs w:val="false"/>
        </w:rPr>
        <w:t xml:space="preserve">Ghidul Solicitantului — Condiții Specifice stabilește pentru organizațiile sindicale un rol specific și activ: „În cazul organizațiilor sindicale și patronale și asociațiilor profesionale, rolul acestora trebuie să fie unul activ în organizarea și monitorizarea procesului de învățare, fără a se limita la activități de selecție a grupului țintă" (secțiunea 5.1.4). Arhitectura proiectului a fost construită astfel încât partenerul să aibă exact acest rol, prin componenta organizatorică a activității de formare la locul de muncă (A2.2) și prin activitatea de mentorat și schimb de bune practici (A3).</w:t>
      </w:r>
    </w:p>
    <w:p>
      <w:pPr>
        <w:pStyle w:val="ListParagraph"/>
        <w:numPr>
          <w:ilvl w:val="0"/>
          <w:numId w:val="2"/>
        </w:numPr>
        <w:spacing w:after="60"/>
        <w:jc w:val="both"/>
      </w:pPr>
      <w:r>
        <w:rPr>
          <w:b w:val="false"/>
          <w:bCs w:val="false"/>
          <w:i w:val="false"/>
          <w:iCs w:val="false"/>
        </w:rPr>
        <w:t xml:space="preserve">Grupul-țintă este format exclusiv din personal didactic ANGAJAT, din învățământul preuniversitar și din învățământul superior, la nivel național. Organizațiile sindicale din educație pot dispune, prin organizațiile membre și prin canalele proprii de comunicare, de un avantaj funcțional semnificativ în accesarea, mobilizarea și menținerea acestei categorii profesionale, întrucât baza lor de membri este formată chiar din aceasta. Avantajul nu este prezumat pe baza formei juridice și nici nu se transformă într-o condiție de admitere: fiecare candidat își asumă ambele segmente și prezintă metodologia proprie de recrutare, iar calitatea și fezabilitatea acesteia se punctează la subcriteriile 1.2 și 1.3.</w:t>
      </w:r>
    </w:p>
    <w:p>
      <w:pPr>
        <w:pStyle w:val="ListParagraph"/>
        <w:numPr>
          <w:ilvl w:val="0"/>
          <w:numId w:val="2"/>
        </w:numPr>
        <w:spacing w:after="60"/>
        <w:jc w:val="both"/>
      </w:pPr>
      <w:r>
        <w:rPr>
          <w:b w:val="false"/>
          <w:bCs w:val="false"/>
          <w:i w:val="false"/>
          <w:iCs w:val="false"/>
        </w:rPr>
        <w:t xml:space="preserve">Activitatea A2.2 se desfășoară în instituțiile de învățământ în care participanții sunt deja angajați. Relația structurată a organizațiilor sindicale cu unitățile de învățământ, cu instituțiile de învățământ superior și cu structurile de dialog social poate facilita încheierea protocoalelor instituționale și desemnarea tutorilor, reducând efortul și costul de intermediere.</w:t>
      </w:r>
    </w:p>
    <w:p>
      <w:pPr>
        <w:pStyle w:val="ListParagraph"/>
        <w:numPr>
          <w:ilvl w:val="0"/>
          <w:numId w:val="2"/>
        </w:numPr>
        <w:spacing w:after="60"/>
        <w:jc w:val="both"/>
      </w:pPr>
      <w:r>
        <w:rPr>
          <w:b w:val="false"/>
          <w:bCs w:val="false"/>
          <w:i w:val="false"/>
          <w:iCs w:val="false"/>
        </w:rPr>
        <w:t xml:space="preserve">Activitatea A3 presupune constituirea unor comunități profesionale durabile. Organizațiile sindicale au legitimitatea și, de regulă, instrumentele proprii pentru organizarea și menținerea unor astfel de comunități în interiorul profesiei, inclusiv după finalizarea proiectului, ceea ce susține sustenabilitatea rezultatelor.</w:t>
      </w:r>
    </w:p>
    <w:p>
      <w:pPr>
        <w:pStyle w:val="ListParagraph"/>
        <w:numPr>
          <w:ilvl w:val="0"/>
          <w:numId w:val="2"/>
        </w:numPr>
        <w:spacing w:after="60"/>
        <w:jc w:val="both"/>
      </w:pPr>
      <w:r>
        <w:rPr>
          <w:b w:val="false"/>
          <w:bCs w:val="false"/>
          <w:i w:val="false"/>
          <w:iCs w:val="false"/>
        </w:rPr>
        <w:t xml:space="preserve">Recrutarea și menținerea grupului-țintă se realizează prin canale asociative proprii, de tip necomercial, ceea ce reduce costul mobilizării și riscul de conflict de interese în raport cu furnizorul programelor de formare.</w:t>
      </w:r>
    </w:p>
    <w:p>
      <w:pPr>
        <w:pStyle w:val="ListParagraph"/>
        <w:numPr>
          <w:ilvl w:val="0"/>
          <w:numId w:val="2"/>
        </w:numPr>
        <w:spacing w:after="60"/>
        <w:jc w:val="both"/>
      </w:pPr>
      <w:r>
        <w:rPr>
          <w:b w:val="false"/>
          <w:bCs w:val="false"/>
          <w:i w:val="false"/>
          <w:iCs w:val="false"/>
        </w:rPr>
        <w:t xml:space="preserve">Calitatea de organizație sindicală de nivel superior presupune un mandat stabil de reprezentare a salariaților din educație, potrivit legislației dialogului social, spre deosebire de entități care nu au o relație permanentă cu această categorie de personal.</w:t>
      </w:r>
    </w:p>
    <w:p>
      <w:pPr>
        <w:spacing w:after="100"/>
        <w:jc w:val="both"/>
      </w:pPr>
      <w:r>
        <w:rPr>
          <w:b w:val="false"/>
          <w:bCs w:val="false"/>
          <w:i/>
          <w:iCs/>
        </w:rPr>
        <w:t xml:space="preserve">Cerința nu restrânge nejustificat concurența: pot candida toate federațiile și confederațiile sindicale din domeniul educației, constituite conform legii, indiferent de dimensiune sau de vechimea în activitate peste pragul minim. NU se solicită calitatea de organizație sindicală reprezentativă la nivel de sector și NU se solicită calitatea de furnizor de formare profesională, de furnizor de servicii de ocupare ori experiență în domenii tehnologice: formarea, conținutul tehnic și recunoașterea programelor revin integral liderului de parteneriat.</w:t>
      </w:r>
    </w:p>
    <w:p>
      <w:pPr>
        <w:spacing w:after="100"/>
        <w:jc w:val="both"/>
      </w:pPr>
      <w:r>
        <w:rPr>
          <w:b w:val="false"/>
          <w:bCs w:val="false"/>
          <w:i w:val="false"/>
          <w:iCs w:val="false"/>
        </w:rPr>
        <w:t xml:space="preserve">Formă de organizare: o singură organizație sindicală de nivel superior — federație sindicală sau confederație sindicală — cu personalitate juridică proprie, legal constituită în România, care candidează individual, în nume propriu. Nu se acceptă candidaturi comune, asocieri temporare, consorții ori grupuri de entități fără personalitate juridică distinctă.</w:t>
      </w:r>
    </w:p>
    <w:p>
      <w:pPr>
        <w:pStyle w:val="Heading1"/>
        <w:spacing w:after="120" w:before="260"/>
      </w:pPr>
      <w:r>
        <w:t xml:space="preserve">4. Etapa I — cerințe de eligibilitate și de capacitate (eliminatorii)</w:t>
      </w:r>
    </w:p>
    <w:p>
      <w:pPr>
        <w:pStyle w:val="Heading2"/>
        <w:spacing w:after="100" w:before="200"/>
      </w:pPr>
      <w:r>
        <w:t xml:space="preserve">a) Cerințe de eligibilitate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8126"/>
      </w:tblGrid>
      <w:tr>
        <w:tc>
          <w:tcPr>
            <w:tcW w:type="dxa" w:w="900"/>
            <w:shd w:fill="D9E2F3" w:val="clear"/>
            <w:tcMar>
              <w:top w:type="dxa" w:w="60"/>
              <w:left w:type="dxa" w:w="100"/>
              <w:bottom w:type="dxa" w:w="60"/>
              <w:right w:type="dxa" w:w="100"/>
            </w:tcMar>
          </w:tcPr>
          <w:p>
            <w:pPr>
              <w:spacing w:after="40"/>
            </w:pPr>
            <w:r>
              <w:rPr>
                <w:b/>
                <w:bCs/>
                <w:i w:val="false"/>
                <w:iCs w:val="false"/>
                <w:sz w:val="20"/>
                <w:szCs w:val="20"/>
              </w:rPr>
              <w:t xml:space="preserve">Nr.</w:t>
            </w:r>
          </w:p>
        </w:tc>
        <w:tc>
          <w:tcPr>
            <w:tcW w:type="dxa" w:w="8126"/>
            <w:shd w:fill="D9E2F3" w:val="clear"/>
            <w:tcMar>
              <w:top w:type="dxa" w:w="60"/>
              <w:left w:type="dxa" w:w="100"/>
              <w:bottom w:type="dxa" w:w="60"/>
              <w:right w:type="dxa" w:w="100"/>
            </w:tcMar>
          </w:tcPr>
          <w:p>
            <w:pPr>
              <w:spacing w:after="40"/>
            </w:pPr>
            <w:r>
              <w:rPr>
                <w:b/>
                <w:bCs/>
                <w:i w:val="false"/>
                <w:iCs w:val="false"/>
                <w:sz w:val="20"/>
                <w:szCs w:val="20"/>
              </w:rPr>
              <w:t xml:space="preserve">Cerință</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A.1</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Organizație sindicală de nivel superior — federație sindicală sau confederație sindicală — cu personalitate juridică proprie, legal constituită în România potrivit legislației dialogului social aplicabile la data constituirii (Legea nr. 367/2022 sau, după caz, legislația anterioară), care candidează individual, în nume propriu.</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A.2</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Statutul sau actele constitutive prevăd reprezentarea ori organizarea personalului din educație, învățământ sau cercetare și permit desfășurarea de activități compatibile cu rolurile asumate în proiect: informare, mobilizare, organizarea de rețele și comunități profesionale, schimb de bune practici, mentorat și sprijin pentru dezvoltarea profesională. NU este necesară menționarea expresă, în statut, a ambelor segmente ale grupului-țintă și nu se solicită ca formarea profesională a adulților să facă parte din obiectul de activitate, întrucât partenerul nu furnizează programele de formare.</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A.3</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Nu se află în niciuna dintre situațiile de excludere prevăzute de Ghidul Solicitantului — Condiții Generale PEO 2021–2027 și nu are datorii la bugetul de stat sau local.</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A.4</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Este implicată, cu resurse umane și buget propriu, în cel puțin o activitate relevantă și obligatorie dintre cele prevăzute la subsecțiunea 5.2.2 din Ghidul Solicitantului — Condiții Specifice. Condiția se fundamentează prin componenta organizatorică și logistică a activității A2.2 — formarea la locul de muncă, parte a activității obligatorii A2 — și prin activitatea A3 — mentorat profesional și schimb de bune practici, pentru care partenerul are livrabile și responsabilități distincte.</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A.5</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Asigură contribuția proprie aplicabilă tipului său de entitate. Precizare: pentru prezentul apel rata cofinanțării proprii este 0%, astfel încât partenerului selectat nu i se solicită contribuție financiară proprie.</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A.6</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Are o vechime de minimum 1 an de la înființare (condiție relevantă și pentru metoda de calcul a capacității financiare prevăzută la B.3).</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A.7</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ASUMAREA AMBELOR SEGMENTE ALE GRUPULUI-ȚINTĂ ȘI PREZENTAREA METODOLOGIEI DE RECRUTARE. Candidatul își asumă mobilizarea, recrutarea și menținerea grupului-țintă din ambele segmente ale proiectului — personal didactic angajat din învățământul preuniversitar și din învățământul superior — și prezintă, în propunerea tehnică, o metodologie realistă de identificare, recrutare, selecție și menținere a participanților, la nivel național. NU este necesar ca, la data depunerii candidaturii, candidatul să dețină membri proprii, structuri teritoriale, acorduri sau protocoale preexistente în fiecare segment ori în fiecare regiune. Capacitatea concretă și fezabilitatea mecanismului propus NU se verifică în etapa I, ci se evaluează și se punctează în etapa a II-a, la subcriteriile 1.2 și 1.3.</w:t>
            </w:r>
          </w:p>
        </w:tc>
      </w:tr>
    </w:tbl>
    <w:p>
      <w:pPr>
        <w:pStyle w:val="Heading2"/>
        <w:spacing w:after="100" w:before="200"/>
      </w:pPr>
      <w:r>
        <w:t xml:space="preserve">b) Cerințe de capacitate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8126"/>
      </w:tblGrid>
      <w:tr>
        <w:tc>
          <w:tcPr>
            <w:tcW w:type="dxa" w:w="900"/>
            <w:shd w:fill="D9E2F3" w:val="clear"/>
            <w:tcMar>
              <w:top w:type="dxa" w:w="60"/>
              <w:left w:type="dxa" w:w="100"/>
              <w:bottom w:type="dxa" w:w="60"/>
              <w:right w:type="dxa" w:w="100"/>
            </w:tcMar>
          </w:tcPr>
          <w:p>
            <w:pPr>
              <w:spacing w:after="40"/>
            </w:pPr>
            <w:r>
              <w:rPr>
                <w:b/>
                <w:bCs/>
                <w:i w:val="false"/>
                <w:iCs w:val="false"/>
                <w:sz w:val="20"/>
                <w:szCs w:val="20"/>
              </w:rPr>
              <w:t xml:space="preserve">Nr.</w:t>
            </w:r>
          </w:p>
        </w:tc>
        <w:tc>
          <w:tcPr>
            <w:tcW w:type="dxa" w:w="8126"/>
            <w:shd w:fill="D9E2F3" w:val="clear"/>
            <w:tcMar>
              <w:top w:type="dxa" w:w="60"/>
              <w:left w:type="dxa" w:w="100"/>
              <w:bottom w:type="dxa" w:w="60"/>
              <w:right w:type="dxa" w:w="100"/>
            </w:tcMar>
          </w:tcPr>
          <w:p>
            <w:pPr>
              <w:spacing w:after="40"/>
            </w:pPr>
            <w:r>
              <w:rPr>
                <w:b/>
                <w:bCs/>
                <w:i w:val="false"/>
                <w:iCs w:val="false"/>
                <w:sz w:val="20"/>
                <w:szCs w:val="20"/>
              </w:rPr>
              <w:t xml:space="preserve">Cerință</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B.1</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A implementat, în calitate de beneficiar sau de partener, cel puțin un proiect finalizat, cu finanțare nerambursabilă din Fondul social european sau Fondul social european Plus (inclusiv programe din perioade de programare anterioare, precum POSDRU), în care candidatul a desfășurat el însuși activități relevante pentru rolurile care îi revin în prezentul proiect — mobilizarea, informarea sau organizarea grupurilor-țintă și/sau organizarea de rețele, comunități profesionale, evenimente de schimb de bune practici ori mentorat. Gradul de îndeplinire a indicatorilor de realizare, de minimum 90%, se dovedește prin document emis, aprobat sau validat de finanțator: raportul de progres final aprobat, raportul de validare finală, raportul misiunii de verificare la fața locului aprobat de autoritatea de management sau de organismul intermediar, adresa ori scrisoarea emisă de finanțator. Rolul propriu al candidatului se dovedește prin contractul de finanțare și/sau acordul de parteneriat, coroborate cu cererea de finanțare și cu documentul emis, aprobat ori validat de finanțator. Livrabilele, rapoartele de activitate, procesele-verbale sau minutele proprii pot fi depuse suplimentar și întăresc dosarul, dar NU constituie condiție eliminatorie atunci când rolul candidatului rezultă cu claritate din documentele contractuale și din documentul finanțatorului.</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B.2</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Are experiență de cel puțin 12 luni în activități de reprezentare, informare, mobilizare sau organizare a membrilor ori a unor grupuri profesionale ȘI experiență în cel puțin UNA dintre următoarele categorii: organizarea de rețele sau comunități profesionale; schimburi de experiență; evenimente profesionale; mentorat; campanii de informare; dialog social. Experiența poate rezulta din proiecte, din activitatea statutară curentă, din rapoarte de activitate, publicații, procese-verbale, evenimente organizate ori din alte documente organizatorice proprii; nu se solicită continuitate neîntreruptă și nu se aplică un criteriu de recență. NU se solicită experiență anterioară în organizarea formării la locul de muncă și nici experiență în domenii tehnologice.</w:t>
            </w:r>
          </w:p>
        </w:tc>
      </w:tr>
      <w:tr>
        <w:tc>
          <w:tcPr>
            <w:tcW w:type="dxa" w:w="900"/>
            <w:tcMar>
              <w:top w:type="dxa" w:w="60"/>
              <w:left w:type="dxa" w:w="100"/>
              <w:bottom w:type="dxa" w:w="60"/>
              <w:right w:type="dxa" w:w="100"/>
            </w:tcMar>
          </w:tcPr>
          <w:p>
            <w:pPr>
              <w:spacing w:after="40"/>
            </w:pPr>
            <w:r>
              <w:rPr>
                <w:b w:val="false"/>
                <w:bCs w:val="false"/>
                <w:i w:val="false"/>
                <w:iCs w:val="false"/>
                <w:sz w:val="20"/>
                <w:szCs w:val="20"/>
              </w:rPr>
              <w:t xml:space="preserve">B.3</w:t>
            </w:r>
          </w:p>
        </w:tc>
        <w:tc>
          <w:tcPr>
            <w:tcW w:type="dxa" w:w="8126"/>
            <w:tcMar>
              <w:top w:type="dxa" w:w="60"/>
              <w:left w:type="dxa" w:w="100"/>
              <w:bottom w:type="dxa" w:w="60"/>
              <w:right w:type="dxa" w:w="100"/>
            </w:tcMar>
          </w:tcPr>
          <w:p>
            <w:pPr>
              <w:spacing w:after="40"/>
            </w:pPr>
            <w:r>
              <w:rPr>
                <w:b w:val="false"/>
                <w:bCs w:val="false"/>
                <w:i w:val="false"/>
                <w:iCs w:val="false"/>
                <w:sz w:val="20"/>
                <w:szCs w:val="20"/>
              </w:rPr>
              <w:t xml:space="preserve">Demonstrează capacitate financiară potrivit mecanismului prevăzut la secțiunea 2.1 din Ghidul Solicitantului — Condiții Generale, prin UNA dintre următoarele două metode, la alegerea candidatului: (a) suma cifrelor de afaceri sau, pentru entitățile care nu au cifră de afaceri, suma veniturilor totale pentru ultimul an fiscal ori pentru ultimii ani fiscali încheiați (maximum 4 ani: n-1, n-2, n-3, n-4), conform situațiilor financiare depuse la organul fiscal, cel puțin egală cu valoarea asistenței financiare nerambursabile aferente bugetului alocat partenerului, respectiv cu 1.750.000 euro; SAU (b) maximum 40% din valoarea asistenței financiare nerambursabile totale a proiectului — aproximativ 1.999.750 euro pentru un proiect de 4.999.378 euro, sumă care acoperă integral bugetul partenerului —, metodă utilizabilă de un SINGUR membru al parteneriatului, pentru organizații cu vechime mai mare de un an. Precizare: liderul de parteneriat este instituție publică, pentru care capacitatea financiară nu se evaluează, astfel încât metoda de la litera (b) rămâne, în principiu, disponibilă partenerului. Candidatul poate utiliza această metodă numai dacă, în configurația finală a parteneriatului, ea nu este utilizată de un alt membru și dacă sunt îndeplinite toate condițiile prevăzute de Ghidul Solicitantului — Condiții Generale; disponibilitatea metodei se confirmă la constituirea parteneriatului, anterior depunerii cererii de finanțare. La dosar se anexează fișa de calcul, cu indicarea metodei alese și a datelor-sursă.</w:t>
            </w:r>
          </w:p>
        </w:tc>
      </w:tr>
    </w:tbl>
    <w:p>
      <w:pPr>
        <w:spacing w:after="100"/>
        <w:jc w:val="both"/>
      </w:pPr>
      <w:r>
        <w:rPr>
          <w:b w:val="false"/>
          <w:bCs w:val="false"/>
          <w:i/>
          <w:iCs/>
        </w:rPr>
        <w:t xml:space="preserve">Motive de respingere în etapa I: depunerea după termenul-limită; dosar incomplet; neîndeplinirea uneia dintre cerințele de mai sus; datorii la bugetul de stat sau local; încadrarea în situațiile prevăzute la punctul B) din Declarația unică.</w:t>
      </w:r>
    </w:p>
    <w:p>
      <w:pPr>
        <w:pStyle w:val="Heading1"/>
        <w:spacing w:after="120" w:before="260"/>
      </w:pPr>
      <w:r>
        <w:t xml:space="preserve">5. Dosarul de candidatură</w:t>
      </w:r>
    </w:p>
    <w:p>
      <w:pPr>
        <w:spacing w:after="100"/>
        <w:jc w:val="both"/>
      </w:pPr>
      <w:r>
        <w:rPr>
          <w:b/>
          <w:bCs/>
          <w:i w:val="false"/>
          <w:iCs w:val="false"/>
        </w:rPr>
        <w:t xml:space="preserve">În copie, semnate și certificate „conform cu originalul" de către reprezentantul legal:</w:t>
      </w:r>
    </w:p>
    <w:p>
      <w:pPr>
        <w:pStyle w:val="ListParagraph"/>
        <w:numPr>
          <w:ilvl w:val="0"/>
          <w:numId w:val="2"/>
        </w:numPr>
        <w:spacing w:after="60"/>
        <w:jc w:val="both"/>
      </w:pPr>
      <w:r>
        <w:rPr>
          <w:b w:val="false"/>
          <w:bCs w:val="false"/>
          <w:i w:val="false"/>
          <w:iCs w:val="false"/>
        </w:rPr>
        <w:t xml:space="preserve">a) Hotărârea judecătorească de dobândire a personalității juridice și statutul organizației, împreună cu toate actele de modificare, inclusiv hotărârile privind schimbarea denumirii, a sediului ori a scopului, precum și dovada actualizată a înscrierii în registrul special al organizațiilor sindicale;</w:t>
      </w:r>
    </w:p>
    <w:p>
      <w:pPr>
        <w:pStyle w:val="ListParagraph"/>
        <w:numPr>
          <w:ilvl w:val="0"/>
          <w:numId w:val="2"/>
        </w:numPr>
        <w:spacing w:after="60"/>
        <w:jc w:val="both"/>
      </w:pPr>
      <w:r>
        <w:rPr>
          <w:b w:val="false"/>
          <w:bCs w:val="false"/>
          <w:i w:val="false"/>
          <w:iCs w:val="false"/>
        </w:rPr>
        <w:t xml:space="preserve">b) Statutul și documentele statutare actualizate ale organizației, din care rezultă structura organizatorică și organele de conducere. Documentele distincte privind organizațiile membre sau afiliate și structurile teritoriale NU sunt obligatorii; ele se depun potrivit literei f), dacă există și dacă participantul dorește să le valorifice în evaluarea calitativă;</w:t>
      </w:r>
    </w:p>
    <w:p>
      <w:pPr>
        <w:pStyle w:val="ListParagraph"/>
        <w:numPr>
          <w:ilvl w:val="0"/>
          <w:numId w:val="2"/>
        </w:numPr>
        <w:spacing w:after="60"/>
        <w:jc w:val="both"/>
      </w:pPr>
      <w:r>
        <w:rPr>
          <w:b w:val="false"/>
          <w:bCs w:val="false"/>
          <w:i w:val="false"/>
          <w:iCs w:val="false"/>
        </w:rPr>
        <w:t xml:space="preserve">c) Certificatul de înregistrare fiscală, pe denumirea actuală;</w:t>
      </w:r>
    </w:p>
    <w:p>
      <w:pPr>
        <w:pStyle w:val="ListParagraph"/>
        <w:numPr>
          <w:ilvl w:val="0"/>
          <w:numId w:val="2"/>
        </w:numPr>
        <w:spacing w:after="60"/>
        <w:jc w:val="both"/>
      </w:pPr>
      <w:r>
        <w:rPr>
          <w:b w:val="false"/>
          <w:bCs w:val="false"/>
          <w:i w:val="false"/>
          <w:iCs w:val="false"/>
        </w:rPr>
        <w:t xml:space="preserve">d) Situațiile financiare aferente ultimilor 4 ani fiscali încheiați, înregistrate la organul fiscal competent, cu recipisele aferente, împreună cu fișa de calcul a capacității financiare (metoda aleasă potrivit cerinței B.3);</w:t>
      </w:r>
    </w:p>
    <w:p>
      <w:pPr>
        <w:pStyle w:val="ListParagraph"/>
        <w:numPr>
          <w:ilvl w:val="0"/>
          <w:numId w:val="2"/>
        </w:numPr>
        <w:spacing w:after="60"/>
        <w:jc w:val="both"/>
      </w:pPr>
      <w:r>
        <w:rPr>
          <w:b w:val="false"/>
          <w:bCs w:val="false"/>
          <w:i w:val="false"/>
          <w:iCs w:val="false"/>
        </w:rPr>
        <w:t xml:space="preserve">e) Documentele care probează experiența solicitată la punctele B.1 și B.2: contractul de finanțare sau acordul de parteneriat al proiectului invocat, actele adiționale, extrasul din cererea de finanțare din care rezultă activitățile proprii, documentul emis, aprobat ori validat de finanțator privind gradul de realizare a indicatorilor, opțional, livrabile, rapoarte de activitate, procese-verbale sau minute care probează execuția proprie — acestea nu sunt obligatorii dacă rolul candidatului rezultă din documentele contractuale coroborate cu documentul finanțatorului. Pentru cerința B.2 pot fi utilizate, în egală măsură, rapoarte de activitate, publicații, buletine informative, convocări, procese-verbale, dovezi privind evenimentele organizate, documente privind activitatea de dialog social ori alte înscrisuri organizatorice relevante, cu date certe și perioade identificabile;</w:t>
      </w:r>
    </w:p>
    <w:p>
      <w:pPr>
        <w:pStyle w:val="ListParagraph"/>
        <w:numPr>
          <w:ilvl w:val="0"/>
          <w:numId w:val="2"/>
        </w:numPr>
        <w:spacing w:after="60"/>
        <w:jc w:val="both"/>
      </w:pPr>
      <w:r>
        <w:rPr>
          <w:b w:val="false"/>
          <w:bCs w:val="false"/>
          <w:i w:val="false"/>
          <w:iCs w:val="false"/>
        </w:rPr>
        <w:t xml:space="preserve">f) OPȚIONAL, documente care susțin accesul la grupul-țintă: evidențe privind organizațiile membre sau afiliate și structurile teritoriale, numărul de membri pe segmente și pe regiuni, acorduri de colaborare, protocoale, scrisori de intenție sau de angajament, dovezi ale canalelor proprii de comunicare. Aceste documente NU sunt obligatorii pentru admiterea în etapa a II-a; ele întăresc punctajul la subcriteriile 1.2, 1.3 și 2.2.</w:t>
      </w:r>
    </w:p>
    <w:p>
      <w:pPr>
        <w:spacing w:after="100"/>
        <w:jc w:val="both"/>
      </w:pPr>
      <w:r>
        <w:rPr>
          <w:b/>
          <w:bCs/>
          <w:i w:val="false"/>
          <w:iCs w:val="false"/>
        </w:rPr>
        <w:t xml:space="preserve">În original:</w:t>
      </w:r>
    </w:p>
    <w:p>
      <w:pPr>
        <w:pStyle w:val="ListParagraph"/>
        <w:numPr>
          <w:ilvl w:val="0"/>
          <w:numId w:val="2"/>
        </w:numPr>
        <w:spacing w:after="60"/>
        <w:jc w:val="both"/>
      </w:pPr>
      <w:r>
        <w:rPr>
          <w:b w:val="false"/>
          <w:bCs w:val="false"/>
          <w:i w:val="false"/>
          <w:iCs w:val="false"/>
        </w:rPr>
        <w:t xml:space="preserve">g) Cererea de participare, completată și semnată (Anexa 1);</w:t>
      </w:r>
    </w:p>
    <w:p>
      <w:pPr>
        <w:pStyle w:val="ListParagraph"/>
        <w:numPr>
          <w:ilvl w:val="0"/>
          <w:numId w:val="2"/>
        </w:numPr>
        <w:spacing w:after="60"/>
        <w:jc w:val="both"/>
      </w:pPr>
      <w:r>
        <w:rPr>
          <w:b w:val="false"/>
          <w:bCs w:val="false"/>
          <w:i w:val="false"/>
          <w:iCs w:val="false"/>
        </w:rPr>
        <w:t xml:space="preserve">h) Fișa partenerului, completată și semnată (Anexa 7), însoțită de curriculum vitae ale celor trei coordonatori propuși, de lista resurselor puse la dispoziția proiectului și de analiza de costuri pentru fundamentarea bugetului activităților propuse;</w:t>
      </w:r>
    </w:p>
    <w:p>
      <w:pPr>
        <w:pStyle w:val="ListParagraph"/>
        <w:numPr>
          <w:ilvl w:val="0"/>
          <w:numId w:val="2"/>
        </w:numPr>
        <w:spacing w:after="60"/>
        <w:jc w:val="both"/>
      </w:pPr>
      <w:r>
        <w:rPr>
          <w:b w:val="false"/>
          <w:bCs w:val="false"/>
          <w:i w:val="false"/>
          <w:iCs w:val="false"/>
        </w:rPr>
        <w:t xml:space="preserve">i) Declarația unică (Anexa 4);</w:t>
      </w:r>
    </w:p>
    <w:p>
      <w:pPr>
        <w:pStyle w:val="ListParagraph"/>
        <w:numPr>
          <w:ilvl w:val="0"/>
          <w:numId w:val="2"/>
        </w:numPr>
        <w:spacing w:after="60"/>
        <w:jc w:val="both"/>
      </w:pPr>
      <w:r>
        <w:rPr>
          <w:b w:val="false"/>
          <w:bCs w:val="false"/>
          <w:i w:val="false"/>
          <w:iCs w:val="false"/>
        </w:rPr>
        <w:t xml:space="preserve">j) Declarația privind conformitatea cu prevederile Cartei drepturilor fundamentale a Uniunii Europene (Anexa 5);</w:t>
      </w:r>
    </w:p>
    <w:p>
      <w:pPr>
        <w:pStyle w:val="ListParagraph"/>
        <w:numPr>
          <w:ilvl w:val="0"/>
          <w:numId w:val="2"/>
        </w:numPr>
        <w:spacing w:after="60"/>
        <w:jc w:val="both"/>
      </w:pPr>
      <w:r>
        <w:rPr>
          <w:b w:val="false"/>
          <w:bCs w:val="false"/>
          <w:i w:val="false"/>
          <w:iCs w:val="false"/>
        </w:rPr>
        <w:t xml:space="preserve">k) Declarația privind respectarea Convenției Organizației Națiunilor Unite privind drepturile persoanelor cu dizabilități (Anexa 6);</w:t>
      </w:r>
    </w:p>
    <w:p>
      <w:pPr>
        <w:pStyle w:val="ListParagraph"/>
        <w:numPr>
          <w:ilvl w:val="0"/>
          <w:numId w:val="2"/>
        </w:numPr>
        <w:spacing w:after="60"/>
        <w:jc w:val="both"/>
      </w:pPr>
      <w:r>
        <w:rPr>
          <w:b w:val="false"/>
          <w:bCs w:val="false"/>
          <w:i w:val="false"/>
          <w:iCs w:val="false"/>
        </w:rPr>
        <w:t xml:space="preserve">l) Declarație pe propria răspundere privind neîncadrarea în situațiile de excludere și absența conflictului de interese, în măsura în care aceste aspecte nu sunt integral acoperite de Declarația unică;</w:t>
      </w:r>
    </w:p>
    <w:p>
      <w:pPr>
        <w:pStyle w:val="ListParagraph"/>
        <w:numPr>
          <w:ilvl w:val="0"/>
          <w:numId w:val="2"/>
        </w:numPr>
        <w:spacing w:after="60"/>
        <w:jc w:val="both"/>
      </w:pPr>
      <w:r>
        <w:rPr>
          <w:b w:val="false"/>
          <w:bCs w:val="false"/>
          <w:i w:val="false"/>
          <w:iCs w:val="false"/>
        </w:rPr>
        <w:t xml:space="preserve">m) Declarație pe propria răspundere privind asigurarea resurselor umane și financiare necesare implementării, pe toată durata proiectului, precum și sustenabilitatea rezultatelor;</w:t>
      </w:r>
    </w:p>
    <w:p>
      <w:pPr>
        <w:pStyle w:val="ListParagraph"/>
        <w:numPr>
          <w:ilvl w:val="0"/>
          <w:numId w:val="2"/>
        </w:numPr>
        <w:spacing w:after="60"/>
        <w:jc w:val="both"/>
      </w:pPr>
      <w:r>
        <w:rPr>
          <w:b w:val="false"/>
          <w:bCs w:val="false"/>
          <w:i w:val="false"/>
          <w:iCs w:val="false"/>
        </w:rPr>
        <w:t xml:space="preserve">n) Certificatul de atestare fiscală privind obligațiile la bugetul de stat și cel privind obligațiile la bugetul local. În lipsa acestora la termenul de depunere, candidatul poate depune declarația pe propria răspundere prevăzută de Metodologia POLITEHNICA București, cu obligația prezentării certificatelor până la 31.08.2026, sub sancțiunea descalificării;</w:t>
      </w:r>
    </w:p>
    <w:p>
      <w:pPr>
        <w:pStyle w:val="ListParagraph"/>
        <w:numPr>
          <w:ilvl w:val="0"/>
          <w:numId w:val="2"/>
        </w:numPr>
        <w:spacing w:after="60"/>
        <w:jc w:val="both"/>
      </w:pPr>
      <w:r>
        <w:rPr>
          <w:b w:val="false"/>
          <w:bCs w:val="false"/>
          <w:i w:val="false"/>
          <w:iCs w:val="false"/>
        </w:rPr>
        <w:t xml:space="preserve">o) Propunerea tehnică, cuprinzând: planul de mobilizare, recrutare și menținere a grupului-țintă, cu asumarea celor două segmente și a acoperirii naționale, pentru o țintă operațională orientativă de minimum 1.260 de persoane din învățământul preuniversitar și 630 din învățământul superior (surse și canale de recrutare, mecanismul de colaborare cu unitățile de învățământ, cu instituțiile de învățământ superior și cu organizațiile profesionale sau sindicale, distribuția regională, calendarul, resursele umane alocate, volumele estimate și măsurile de menținere și de prevenire a abandonului). Metodologia se apreciază după caracterul ei realist și operațional, nu după existența prealabilă a unor acorduri; metodologia pentru activitatea A2.2 — modul de identificare a instituțiilor-gazdă, modelul de protocol instituțional, sprijinul pentru desemnarea tutorilor, fluxul documentelor de stagiu și delimitarea față de rolul liderului de parteneriat; planul pentru activitatea A3 — comunități de practică, schimburi de experiență, conferințe și mentorat, cu volume și livrabile; structura echipei propuse, cu poziții, ore pe lună, număr de luni (maximum 30) și alocare pe activități, corelată cu bugetul; graficul Gantt, cu jaloane și dependențe între activități; matricea de riscuri, cu probabilitate, impact și măsuri de atenuare; bugetul propriu, defalcat pe activități și pe categorii de cheltuieli, cu analiză de costuri, încadrat în plafonul de 1.750.000 euro; o secțiune distinctă privind necesitatea și valoarea adăugată a partenerului, raportată la rolurile din A1, A2.2 și A3 și la delimitarea față de lider; analiza nevoilor grupului-țintă, diferențiată pe cele două segmente, cu identificarea barierelor de participare, instrumentele de analiză propuse (chestionar, focus-grup, consultare a structurilor), calendarul aplicării lor și modul de valorificare a rezultatelor; măsurile de menținere și de prevenire a abandonului, cu responsabili, praguri de alertă și mod de intervenție. Elementele enumerate corespund punctual subcriteriilor 1.4, 2.2, 2.3 și 2.4 din grila de evaluare;</w:t>
      </w:r>
    </w:p>
    <w:p>
      <w:pPr>
        <w:pStyle w:val="ListParagraph"/>
        <w:numPr>
          <w:ilvl w:val="0"/>
          <w:numId w:val="2"/>
        </w:numPr>
        <w:spacing w:after="60"/>
        <w:jc w:val="both"/>
      </w:pPr>
      <w:r>
        <w:rPr>
          <w:b w:val="false"/>
          <w:bCs w:val="false"/>
          <w:i w:val="false"/>
          <w:iCs w:val="false"/>
        </w:rPr>
        <w:t xml:space="preserve">p) Curriculum vitae în limba română, semnate și datate, ale celor TREI coordonatori propuși, împreună cu diploma relevantă și documentele principale care probează experiența declarată. Nu se depun curriculum vitae pentru restul echipei de implementare.</w:t>
      </w:r>
    </w:p>
    <w:p>
      <w:pPr>
        <w:spacing w:after="100"/>
        <w:jc w:val="both"/>
      </w:pPr>
      <w:r>
        <w:rPr>
          <w:b w:val="false"/>
          <w:bCs w:val="false"/>
          <w:i/>
          <w:iCs/>
        </w:rPr>
        <w:t xml:space="preserve">Declarațiile prevăzute la literele i), j) și k) se completează, la data candidaturii, cu mențiunile: „cod SMIS: neatribuit la data procedurii", calitatea „candidat pentru calitatea de partener" și denumirea „parteneriat propus pentru proiectul ACADEMIA". Formularele definitive se semnează de partenerul selectat înainte de încheierea acordului de parteneriat.</w:t>
      </w:r>
    </w:p>
    <w:p>
      <w:pPr>
        <w:pStyle w:val="Heading1"/>
        <w:spacing w:after="120" w:before="260"/>
      </w:pPr>
      <w:r>
        <w:t xml:space="preserve">6. Etapa a II-a — grila de evaluare și selecție (maximum 100 de puncte)</w:t>
      </w:r>
    </w:p>
    <w:p>
      <w:pPr>
        <w:spacing w:after="100"/>
        <w:jc w:val="both"/>
      </w:pPr>
      <w:r>
        <w:rPr>
          <w:b w:val="false"/>
          <w:bCs w:val="false"/>
          <w:i w:val="false"/>
          <w:iCs w:val="false"/>
        </w:rPr>
        <w:t xml:space="preserve">Sunt declarați admiși participanții care obțin minimum 70 de puncte; este selectat candidatul admis cu punctajul cel mai mare. Fiecare membru cu drept de vot al comisiei completează și semnează o grilă individuală, iar punctajul final este media aritmetică a punctajelor celor trei membri, rotunjită la două zecimale.</w:t>
      </w:r>
    </w:p>
    <w:p>
      <w:pPr>
        <w:spacing w:after="100"/>
        <w:jc w:val="both"/>
      </w:pPr>
      <w:r>
        <w:rPr>
          <w:b/>
          <w:bCs/>
          <w:i w:val="false"/>
          <w:iCs w:val="false"/>
        </w:rPr>
        <w:t xml:space="preserve">OBIECTUL EVALUĂRII. Criteriul 2.1 se referă EXCLUSIV la experiența anterioară a organizației candidate, în proiecte finalizate sau în derulare. Toate celelalte subcriterii — 1.1, 1.2, 1.3, 1.4, 2.2, 2.3 și 2.4 — se referă la PROPUNEREA TEHNICĂ depusă pentru proiectul ACADEMIA, adică la ceea ce candidatul se angajează să realizeze, nu la ceea ce a realizat în trecut. Excepția parțială este subcriteriul 1.1, unde se evaluează echipa propusă pentru ACADEMIA, dar se punctează experiența anterioară a persoanelor nominalizate. Coloana „Obiectul evaluării" din tabelul de mai jos precizează, pentru fiecare subcriteriu, la ce anume se raportează comisia.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0"/>
        <w:gridCol w:w="900"/>
        <w:gridCol w:w="1500"/>
        <w:gridCol w:w="2626"/>
      </w:tblGrid>
      <w:tr>
        <w:tc>
          <w:tcPr>
            <w:tcW w:type="dxa" w:w="4000"/>
            <w:shd w:fill="D9E2F3" w:val="clear"/>
            <w:tcMar>
              <w:top w:type="dxa" w:w="60"/>
              <w:left w:type="dxa" w:w="100"/>
              <w:bottom w:type="dxa" w:w="60"/>
              <w:right w:type="dxa" w:w="100"/>
            </w:tcMar>
          </w:tcPr>
          <w:p>
            <w:pPr>
              <w:spacing w:after="40"/>
            </w:pPr>
            <w:r>
              <w:rPr>
                <w:b/>
                <w:bCs/>
                <w:i w:val="false"/>
                <w:iCs w:val="false"/>
                <w:sz w:val="20"/>
                <w:szCs w:val="20"/>
              </w:rPr>
              <w:t xml:space="preserve">Criterii de evaluare</w:t>
            </w:r>
          </w:p>
        </w:tc>
        <w:tc>
          <w:tcPr>
            <w:tcW w:type="dxa" w:w="900"/>
            <w:shd w:fill="D9E2F3" w:val="clear"/>
            <w:tcMar>
              <w:top w:type="dxa" w:w="60"/>
              <w:left w:type="dxa" w:w="100"/>
              <w:bottom w:type="dxa" w:w="60"/>
              <w:right w:type="dxa" w:w="100"/>
            </w:tcMar>
          </w:tcPr>
          <w:p>
            <w:pPr>
              <w:spacing w:after="40"/>
            </w:pPr>
            <w:r>
              <w:rPr>
                <w:b/>
                <w:bCs/>
                <w:i w:val="false"/>
                <w:iCs w:val="false"/>
                <w:sz w:val="20"/>
                <w:szCs w:val="20"/>
              </w:rPr>
              <w:t xml:space="preserve">Punctaj maxim</w:t>
            </w:r>
          </w:p>
        </w:tc>
        <w:tc>
          <w:tcPr>
            <w:tcW w:type="dxa" w:w="1500"/>
            <w:shd w:fill="D9E2F3" w:val="clear"/>
            <w:tcMar>
              <w:top w:type="dxa" w:w="60"/>
              <w:left w:type="dxa" w:w="100"/>
              <w:bottom w:type="dxa" w:w="60"/>
              <w:right w:type="dxa" w:w="100"/>
            </w:tcMar>
          </w:tcPr>
          <w:p>
            <w:pPr>
              <w:spacing w:after="40"/>
            </w:pPr>
            <w:r>
              <w:rPr>
                <w:b/>
                <w:bCs/>
                <w:i w:val="false"/>
                <w:iCs w:val="false"/>
                <w:sz w:val="20"/>
                <w:szCs w:val="20"/>
              </w:rPr>
              <w:t xml:space="preserve">Obiectul evaluării</w:t>
            </w:r>
          </w:p>
        </w:tc>
        <w:tc>
          <w:tcPr>
            <w:tcW w:type="dxa" w:w="2626"/>
            <w:shd w:fill="D9E2F3" w:val="clear"/>
            <w:tcMar>
              <w:top w:type="dxa" w:w="60"/>
              <w:left w:type="dxa" w:w="100"/>
              <w:bottom w:type="dxa" w:w="60"/>
              <w:right w:type="dxa" w:w="100"/>
            </w:tcMar>
          </w:tcPr>
          <w:p>
            <w:pPr>
              <w:spacing w:after="40"/>
            </w:pPr>
            <w:r>
              <w:rPr>
                <w:b/>
                <w:bCs/>
                <w:i w:val="false"/>
                <w:iCs w:val="false"/>
                <w:sz w:val="20"/>
                <w:szCs w:val="20"/>
              </w:rPr>
              <w:t xml:space="preserve">Documente de referință</w:t>
            </w:r>
          </w:p>
        </w:tc>
      </w:tr>
      <w:tr>
        <w:tc>
          <w:tcPr>
            <w:tcW w:type="dxa" w:w="4000"/>
            <w:tcMar>
              <w:top w:type="dxa" w:w="60"/>
              <w:left w:type="dxa" w:w="100"/>
              <w:bottom w:type="dxa" w:w="60"/>
              <w:right w:type="dxa" w:w="100"/>
            </w:tcMar>
          </w:tcPr>
          <w:p>
            <w:pPr>
              <w:spacing w:after="40"/>
            </w:pPr>
            <w:r>
              <w:rPr>
                <w:b/>
                <w:bCs/>
                <w:i w:val="false"/>
                <w:iCs w:val="false"/>
                <w:sz w:val="20"/>
                <w:szCs w:val="20"/>
              </w:rPr>
              <w:t xml:space="preserve">1. Capacitatea tehnică și organizatorică</w:t>
            </w:r>
          </w:p>
        </w:tc>
        <w:tc>
          <w:tcPr>
            <w:tcW w:type="dxa" w:w="900"/>
            <w:tcMar>
              <w:top w:type="dxa" w:w="60"/>
              <w:left w:type="dxa" w:w="100"/>
              <w:bottom w:type="dxa" w:w="60"/>
              <w:right w:type="dxa" w:w="100"/>
            </w:tcMar>
          </w:tcPr>
          <w:p>
            <w:pPr>
              <w:spacing w:after="40"/>
            </w:pPr>
            <w:r>
              <w:rPr>
                <w:b/>
                <w:bCs/>
                <w:i w:val="false"/>
                <w:iCs w:val="false"/>
                <w:sz w:val="20"/>
                <w:szCs w:val="20"/>
              </w:rPr>
              <w:t xml:space="preserve">45</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1.1. Calitatea echipei de coordonare. Se nominalizează minimum TREI poziții-cheie: (i) coordonator partener; (ii) coordonator mobilizare a grupului-țintă și organizare a activității A2.2; (iii) coordonator activitatea A3 — comunități de practică, mentorat și evenimente. Denumirile pot fi adaptate de candidat. Experiența se apreciază EXCLUSIV în domenii relevante pentru activitățile alocate partenerului — A1, componenta organizatorică a A2.2 și A3 —, respectiv mobilizarea și organizarea grupurilor-țintă ori a membrilor, relația cu instituțiile, organizarea de rețele, comunități profesionale, evenimente, schimburi de experiență sau mentorat, precum și managementul unor activități de această natură. Experiența în domenii-suport (financiar-contabil, resurse umane administrative, juridic, tehnic) nu se ia în calcul la acest subcriteriu. Punctaj: 15 puncte — cel puțin 2 dintre cei 3 coordonatori au peste 5 ani de experiență relevantă, iar rolurile sunt clar delimitate între poziții; 10 puncte — cel puțin 2 dintre cei 3 coordonatori au între 1 și 5 ani de experiență relevantă; 5 puncte — celelalte situații în care echipa minimă este constituită. Dacă se nominalizează mai mult de trei poziții-cheie, regula se aplică proporțional, la două treimi dintre acestea. O persoană nu poate ocupa mai mult de o poziție-cheie.</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15</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Echipa PROPUSĂ pentru ACADEMIA; se punctează experiența anterioară a persoanelor nominalizate</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Curriculum vitae, diplome, documente-suport</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1.2. Strategia de identificare, recrutare și menținere a personalului didactic din învățământul PREUNIVERSITAR. 10 puncte — metodologie completă și realistă, care identifică sursele și canalele de recrutare, calendarul, distribuția regională, resursele umane alocate, mecanismul de colaborare cu unitățile de învățământ și cu organizațiile profesionale sau sindicale, măsurile de menținere și volumele estimate; 6 puncte — metodologie în general fezabilă, cu unele elemente insuficient detaliate; 3 puncte — abordare generală, fără fundamentare operațională suficientă; 0 puncte — segmentul nu este abordat realist. Acordurile, protocoalele și evidențele de membri existente constituie avantaj și pot susține punctajul maxim, dar NU sunt obligatorii.</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Propunerea tehnică, metodologia, planul de acțiune, modelele de comunicare și de protocol; opțional, acorduri și scrisori de intenție</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1.3. Strategia de identificare, recrutare și menținere a personalului didactic din învățământul SUPERIOR. 10 puncte — acoperire națională credibilă, prin structuri proprii sau prin alte canale, cu prezență în minimum 4 centre universitare, calendar, responsabili desemnați, volume estimate și măsuri de prevenire a abandonului; 6 puncte — acoperire fezabilă, dar incomplet fundamentată; 3 puncte — abordare generală; 0 puncte — segmentul nu este acoperit. Se aplică aceleași reguli privind caracterul opțional al acordurilor preexistente.</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Idem, pentru instituțiile de învățământ superior</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1.4. Coerența capacității operaționale. Se evaluează corelarea dintre activitățile asumate, echipa propusă, normele, calendarul, bugetul, distribuția teritorială și volumele orientative ale proiectului: mobilizarea a circa 1.890 de participanți (A1); componenta organizatorică a stagiilor pentru 2.100 de participanți, organizați în aproximativ 210 cohorte de practică (A2.2); 18 comunități de practică, 10 schimburi interregionale, 2 internaționale și 3 conferințe (A3). NU se solicită constituirea prealabilă a rețelei de instituții-gazdă și nici nominalizarea tutorilor. Punctaj: 10 puncte — toate componentele sunt coerente și suficient dimensionate; 6 puncte — propunerea este fezabilă, cu deficiențe remediabile; 0 puncte — capacitatea nu este demonstrată.</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Propunerea tehnică, structura echipei, normele, bugetul</w:t>
            </w:r>
          </w:p>
        </w:tc>
      </w:tr>
      <w:tr>
        <w:tc>
          <w:tcPr>
            <w:tcW w:type="dxa" w:w="4000"/>
            <w:tcMar>
              <w:top w:type="dxa" w:w="60"/>
              <w:left w:type="dxa" w:w="100"/>
              <w:bottom w:type="dxa" w:w="60"/>
              <w:right w:type="dxa" w:w="100"/>
            </w:tcMar>
          </w:tcPr>
          <w:p>
            <w:pPr>
              <w:spacing w:after="40"/>
            </w:pPr>
            <w:r>
              <w:rPr>
                <w:b/>
                <w:bCs/>
                <w:i w:val="false"/>
                <w:iCs w:val="false"/>
                <w:sz w:val="20"/>
                <w:szCs w:val="20"/>
              </w:rPr>
              <w:t xml:space="preserve">2. Capacitatea profesională</w:t>
            </w:r>
          </w:p>
        </w:tc>
        <w:tc>
          <w:tcPr>
            <w:tcW w:type="dxa" w:w="900"/>
            <w:tcMar>
              <w:top w:type="dxa" w:w="60"/>
              <w:left w:type="dxa" w:w="100"/>
              <w:bottom w:type="dxa" w:w="60"/>
              <w:right w:type="dxa" w:w="100"/>
            </w:tcMar>
          </w:tcPr>
          <w:p>
            <w:pPr>
              <w:spacing w:after="40"/>
            </w:pPr>
            <w:r>
              <w:rPr>
                <w:b/>
                <w:bCs/>
                <w:i w:val="false"/>
                <w:iCs w:val="false"/>
                <w:sz w:val="20"/>
                <w:szCs w:val="20"/>
              </w:rPr>
              <w:t xml:space="preserve">55</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2.1. Experiența ANTERIOARĂ a candidatului în proiecte finanțate din Fondul social european sau Fondul social european Plus. Se punctează calitatea și relevanța experienței deja realizate, nu numărul brut de proiecte și nu propunerea depusă pentru prezentul proiect: (a) existența a cel puțin unui proiect FSE sau FSE+ în care candidatul a fost beneficiar ori partener — 5 puncte, acordate integral sau deloc; (b) rol propriu relevant pentru activitățile din prezentul proiect — mobilizare, informare, organizare de grup-țintă, rețele, schimburi de bune practici, evenimente profesionale, monitorizare ori activități educaționale — 5 puncte, acordate integral sau deloc; (c) proiect multiregional sau național, cu complexitate relevantă pentru prezentul proiect, demonstrată prin existența a CEL PUȚIN DOUĂ componente dintre următoarele: grup-țintă de amploare, rețele sau parteneriate, formare, campanii de informare ori mobilizare, evenimente sau schimburi de experiență — 5 puncte, acordate integral sau deloc; (d) operațiune finalizată, cu indicatori de realizare îndepliniți în proporție de minimum 90%, dovediți prin document emis, aprobat sau validat de finanțator — 10 puncte, acordate integral sau deloc.</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25</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EXPERIENȚA ANTERIOARĂ a organizației (proiecte finalizate sau în derulare)</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Contracte de finanțare, acorduri de parteneriat, cereri de finanțare, rapoarte și documente emise de finanțator</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2.2. Capacitatea de creare și de operare a rețelei instituționale necesare proiectului. (a) Mecanismul de identificare a instituțiilor-gazdă, de încheiere a protocoalelor, de sprijin pentru desemnarea tutorilor și de menținere a relației instituționale: 5 puncte — mecanism descris integral, însoțit de model de protocol ȘI de calendar de operaționalizare; 3 puncte — mecanism descris, dar fără model de protocol sau fără calendar; 0 puncte — mecanismul nu este descris. Acordurile și protocoalele deja existente constituie avantaj, dar NU sunt obligatorii. (b) Instrumente de comunicare, mobilizare, coordonare și menținere a participării — pagină de internet, buletine informative, liste de distribuție, rețea de responsabili teritoriali, platformă, punct de informare sau linie de asistență, proceduri de convocare și de raportare: 5 puncte — instrumente descrise operațional, cu responsabili și frecvență de utilizare, existente sau propuse; 3 puncte — instrumente doar enumerate, fără operaționalizare; 0 puncte — lipsă.</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 (instrumentele existente constituie avantaj)</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Propunerea tehnică, modelele de protocol, calendarul de operaționalizare, dovezi privind canalele existente sau propuse</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2.3. Necesitatea și valoarea adăugată a partenerului, cunoașterea grupului-țintă și măsurile de menținere. (a) Justificarea necesității partenerului și a valorii adăugate, raportată la rolurile din A1, A2.2 și A3: 3 puncte — argumentare specifică proiectului, cu referire la activități, volume și la delimitarea față de lider; 2 puncte — argumentare corectă, dar formulată general; 1 punct — enunț formal, fără raportare la activitățile proiectului; 0 puncte — lipsă. (b) Cunoașterea grupului-țintă: 3 puncte — analiză diferențiată pe cele două segmente, cu identificarea barierelor de participare specifice fiecăruia; 2 puncte — analiză unitară, fără diferențiere pe segmente; 1 punct — descriere generică a categoriei profesionale; 0 puncte — lipsă. (c) Instrumentele de analiză a nevoilor: 2 puncte — instrumente concrete (chestionar, focus-grup, consultare a structurilor), cu calendar și cu modul de valorificare a rezultatelor; 1 punct — instrumente enunțate, fără operaționalizare; 0 puncte — lipsă. (d) Măsurile de menținere a grupului-țintă și de prevenire a abandonului: 2 puncte — măsuri concrete, cu responsabili, praguri de alertă și mod de intervenție; 1 punct — măsuri enunțate general; 0 puncte — lipsă.</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Propunerea tehnică, instrumentele propuse</w:t>
            </w:r>
          </w:p>
        </w:tc>
      </w:tr>
      <w:tr>
        <w:tc>
          <w:tcPr>
            <w:tcW w:type="dxa" w:w="4000"/>
            <w:tcMar>
              <w:top w:type="dxa" w:w="60"/>
              <w:left w:type="dxa" w:w="100"/>
              <w:bottom w:type="dxa" w:w="60"/>
              <w:right w:type="dxa" w:w="100"/>
            </w:tcMar>
          </w:tcPr>
          <w:p>
            <w:pPr>
              <w:spacing w:after="40"/>
            </w:pPr>
            <w:r>
              <w:rPr>
                <w:b w:val="false"/>
                <w:bCs w:val="false"/>
                <w:i w:val="false"/>
                <w:iCs w:val="false"/>
                <w:sz w:val="20"/>
                <w:szCs w:val="20"/>
              </w:rPr>
              <w:t xml:space="preserve">2.4. Graficul Gantt, descrierea activităților, experții și bugetul propus. (a) Graficul Gantt: 2 puncte — acoperă toate activitățile alocate partenerului pe durata proiectului, cu jaloane și dependențe între activități; 1 punct — grafic incomplet ori fără jaloane; 0 puncte — lipsă. (b) Descrierea activităților A1, A2.2 și A3, cu livrabile și volume: 2 puncte — toate cele trei activități descrise, cu livrabile și volume cuantificate; 1 punct — cel puțin una dintre activități este descrisă fără livrabile sau fără volume; 0 puncte — lipsă. (c) Corelarea experților și a normelor cu activitățile: 2 puncte — fiecare poziție are activitate atribuită, ore pe lună și număr de luni, în limita a 30 de luni, iar volumul de muncă este realist; 1 punct — corelare parțială ori norme nerealiste; 0 puncte — lipsă. (d) Fundamentarea cheltuielilor și încadrarea în plafonul de 1.750.000 euro: 2 puncte — buget defalcat pe activități și pe categorii de cheltuieli, cu analiză de costuri, încadrat în plafon și corelat cu repartizarea orientativă din anunț; 1 punct — buget prezentat, dar insuficient fundamentat ori necorelat cu repartizarea orientativă; 0 puncte — lipsă sau depășirea plafonului. (e) Matricea de riscuri și măsurile de atenuare: 2 puncte — riscuri specifice activităților partenerului, cu probabilitate, impact și măsuri de atenuare; 1 punct — listă generică de riscuri; 0 puncte — lipsă.</w:t>
            </w:r>
          </w:p>
        </w:tc>
        <w:tc>
          <w:tcPr>
            <w:tcW w:type="dxa" w:w="900"/>
            <w:tcMar>
              <w:top w:type="dxa" w:w="60"/>
              <w:left w:type="dxa" w:w="100"/>
              <w:bottom w:type="dxa" w:w="60"/>
              <w:right w:type="dxa" w:w="100"/>
            </w:tcMar>
          </w:tcPr>
          <w:p>
            <w:pPr>
              <w:spacing w:after="40"/>
            </w:pPr>
            <w:r>
              <w:rPr>
                <w:b w:val="false"/>
                <w:bCs w:val="false"/>
                <w:i w:val="false"/>
                <w:iCs w:val="false"/>
                <w:sz w:val="20"/>
                <w:szCs w:val="20"/>
              </w:rPr>
              <w:t xml:space="preserve">10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PROPUNEREA TEHNICĂ pentru ACADEMIA</w:t>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Propunerea tehnică, graficul Gantt, bugetul propus, matricea de riscuri</w:t>
            </w:r>
          </w:p>
        </w:tc>
      </w:tr>
      <w:tr>
        <w:tc>
          <w:tcPr>
            <w:tcW w:type="dxa" w:w="4000"/>
            <w:tcMar>
              <w:top w:type="dxa" w:w="60"/>
              <w:left w:type="dxa" w:w="100"/>
              <w:bottom w:type="dxa" w:w="60"/>
              <w:right w:type="dxa" w:w="100"/>
            </w:tcMar>
          </w:tcPr>
          <w:p>
            <w:pPr>
              <w:spacing w:after="40"/>
            </w:pPr>
            <w:r>
              <w:rPr>
                <w:b/>
                <w:bCs/>
                <w:i w:val="false"/>
                <w:iCs w:val="false"/>
                <w:sz w:val="20"/>
                <w:szCs w:val="20"/>
              </w:rPr>
              <w:t xml:space="preserve">Total (prag minim de admitere: 70 de puncte)</w:t>
            </w:r>
          </w:p>
        </w:tc>
        <w:tc>
          <w:tcPr>
            <w:tcW w:type="dxa" w:w="900"/>
            <w:tcMar>
              <w:top w:type="dxa" w:w="60"/>
              <w:left w:type="dxa" w:w="100"/>
              <w:bottom w:type="dxa" w:w="60"/>
              <w:right w:type="dxa" w:w="100"/>
            </w:tcMar>
          </w:tcPr>
          <w:p>
            <w:pPr>
              <w:spacing w:after="40"/>
            </w:pPr>
            <w:r>
              <w:rPr>
                <w:b/>
                <w:bCs/>
                <w:i w:val="false"/>
                <w:iCs w:val="false"/>
                <w:sz w:val="20"/>
                <w:szCs w:val="20"/>
              </w:rPr>
              <w:t xml:space="preserve">100</w:t>
            </w:r>
          </w:p>
        </w:tc>
        <w:tc>
          <w:tcPr>
            <w:tcW w:type="dxa" w:w="1500"/>
            <w:tcMar>
              <w:top w:type="dxa" w:w="60"/>
              <w:left w:type="dxa" w:w="100"/>
              <w:bottom w:type="dxa" w:w="60"/>
              <w:right w:type="dxa" w:w="100"/>
            </w:tcMar>
          </w:tcPr>
          <w:p>
            <w:pPr>
              <w:spacing w:after="40"/>
            </w:pPr>
            <w:r>
              <w:rPr>
                <w:b w:val="false"/>
                <w:bCs w:val="false"/>
                <w:i w:val="false"/>
                <w:iCs w:val="false"/>
                <w:sz w:val="20"/>
                <w:szCs w:val="20"/>
              </w:rPr>
              <w:t xml:space="preserve"/>
            </w:r>
          </w:p>
        </w:tc>
        <w:tc>
          <w:tcPr>
            <w:tcW w:type="dxa" w:w="2626"/>
            <w:tcMar>
              <w:top w:type="dxa" w:w="60"/>
              <w:left w:type="dxa" w:w="100"/>
              <w:bottom w:type="dxa" w:w="60"/>
              <w:right w:type="dxa" w:w="100"/>
            </w:tcMar>
          </w:tcPr>
          <w:p>
            <w:pPr>
              <w:spacing w:after="40"/>
            </w:pPr>
            <w:r>
              <w:rPr>
                <w:b w:val="false"/>
                <w:bCs w:val="false"/>
                <w:i w:val="false"/>
                <w:iCs w:val="false"/>
                <w:sz w:val="20"/>
                <w:szCs w:val="20"/>
              </w:rPr>
              <w:t xml:space="preserve"/>
            </w:r>
          </w:p>
        </w:tc>
      </w:tr>
    </w:tbl>
    <w:p>
      <w:pPr>
        <w:spacing w:after="100"/>
        <w:jc w:val="both"/>
      </w:pPr>
      <w:r>
        <w:rPr>
          <w:b w:val="false"/>
          <w:bCs w:val="false"/>
          <w:i w:val="false"/>
          <w:iCs w:val="false"/>
        </w:rPr>
        <w:t xml:space="preserve">În caz de egalitate a punctajului, departajarea se face, în ordine, pe baza: 1. punctajului la subcriteriul 2.1; 2. punctajului cumulat la subcriteriile 1.2 și 1.3; 3. punctajului cumulat la subcriteriile 2.3 și 2.4; 4. punctajului la subcriteriul 1.1; în ultimă instanță, punctajul la subcriteriul 2.2. Aplicarea fiecărei etape de departajare se consemnează în procesul-verbal.</w:t>
      </w:r>
    </w:p>
    <w:p>
      <w:pPr>
        <w:pStyle w:val="Heading1"/>
        <w:spacing w:after="120" w:before="260"/>
      </w:pPr>
      <w:r>
        <w:t xml:space="preserve">7. Experții-cheie</w:t>
      </w:r>
    </w:p>
    <w:p>
      <w:pPr>
        <w:spacing w:after="100"/>
        <w:jc w:val="both"/>
      </w:pPr>
      <w:r>
        <w:rPr>
          <w:b w:val="false"/>
          <w:bCs w:val="false"/>
          <w:i w:val="false"/>
          <w:iCs w:val="false"/>
        </w:rPr>
        <w:t xml:space="preserve">Pentru punctarea criteriului 1.1, participanții depun, pentru cele TREI poziții-cheie de coordonare, curriculum vitae semnat și datat, diploma relevantă și unul sau câteva documente care probează experiența principală declarată. Nu se solicită, la depunerea candidaturii, curriculum vitae sau documente-suport pentru restul echipei de implementare, contracte de muncă, fișe de post finale ori dovezi pentru fiecare lună de experiență a personalului de execuție; echipa completă, normele și fișele de post se definitivează cu partenerul selectat.</w:t>
      </w:r>
    </w:p>
    <w:p>
      <w:pPr>
        <w:pStyle w:val="Heading1"/>
        <w:spacing w:after="120" w:before="260"/>
      </w:pPr>
      <w:r>
        <w:t xml:space="preserve">8. Depunere, calendar, finalizare</w:t>
      </w:r>
    </w:p>
    <w:p>
      <w:pPr>
        <w:spacing w:after="100"/>
        <w:jc w:val="both"/>
      </w:pPr>
      <w:r>
        <w:rPr>
          <w:b w:val="false"/>
          <w:bCs w:val="false"/>
          <w:i w:val="false"/>
          <w:iCs w:val="false"/>
        </w:rPr>
        <w:t xml:space="preserve">Modalitățile de depunere sunt cele prevăzute în anunțul de selecție. Pentru depunerea electronică se acceptă exclusiv documente semnate cu semnătură electronică calificată a reprezentantului legal. Documentele solicitate „în original" se consideră îndeplinite prin semnarea lor cu semnătură electronică calificată, iar copiile se certifică „conform cu originalul" tot prin semnare electronică calificată. Dosarele transmise electronic se înregistrează la Registratură prin grija secretarului comisiei, în cel mult 2 zile lucrătoare, cu comunicarea numărului de înregistrare.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00"/>
        <w:gridCol w:w="3826"/>
      </w:tblGrid>
      <w:tr>
        <w:tc>
          <w:tcPr>
            <w:tcW w:type="dxa" w:w="5200"/>
            <w:shd w:fill="D9E2F3" w:val="clear"/>
            <w:tcMar>
              <w:top w:type="dxa" w:w="60"/>
              <w:left w:type="dxa" w:w="100"/>
              <w:bottom w:type="dxa" w:w="60"/>
              <w:right w:type="dxa" w:w="100"/>
            </w:tcMar>
          </w:tcPr>
          <w:p>
            <w:pPr>
              <w:spacing w:after="40"/>
            </w:pPr>
            <w:r>
              <w:rPr>
                <w:b/>
                <w:bCs/>
                <w:i w:val="false"/>
                <w:iCs w:val="false"/>
                <w:sz w:val="20"/>
                <w:szCs w:val="20"/>
              </w:rPr>
              <w:t xml:space="preserve">Etapă</w:t>
            </w:r>
          </w:p>
        </w:tc>
        <w:tc>
          <w:tcPr>
            <w:tcW w:type="dxa" w:w="3826"/>
            <w:shd w:fill="D9E2F3" w:val="clear"/>
            <w:tcMar>
              <w:top w:type="dxa" w:w="60"/>
              <w:left w:type="dxa" w:w="100"/>
              <w:bottom w:type="dxa" w:w="60"/>
              <w:right w:type="dxa" w:w="100"/>
            </w:tcMar>
          </w:tcPr>
          <w:p>
            <w:pPr>
              <w:spacing w:after="40"/>
            </w:pPr>
            <w:r>
              <w:rPr>
                <w:b/>
                <w:bCs/>
                <w:i w:val="false"/>
                <w:iCs w:val="false"/>
                <w:sz w:val="20"/>
                <w:szCs w:val="20"/>
              </w:rPr>
              <w:t xml:space="preserve">Termen</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Publicarea anunțului de selecție</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miercuri, 12.08.2026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Depunerea dosarelor de candidatură</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până joi, 27.08.2026 (la Registratură și prin poștă sau curier — dosar recepționat până la ora oficială de închidere a instituției; electronic — transmis până la ora 24:00)</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Constituirea comisiei de evaluare și a comisiei de soluționare a contestațiilor</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până vineri, 21.08.2026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Depunerea certificatelor de atestare fiscală de către participanții care au uzat de declarația pe propria răspundere</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până luni, 31.08.2026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Evaluarea dosarelor — etapa I și etapa a II-a</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28.08.2026 – 01.09.2026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Publicarea rezultatelor preliminare și comunicarea către participanți</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miercuri, 02.09.2026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Depunerea contestațiilor</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03.09.2026 – 04.09.2026, ora 16:00</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Soluționarea contestațiilor</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07.09.2026 – 08.09.2026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Publicarea rezultatului final</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miercuri, 09.09.2026</w:t>
            </w:r>
          </w:p>
        </w:tc>
      </w:tr>
      <w:tr>
        <w:tc>
          <w:tcPr>
            <w:tcW w:type="dxa" w:w="5200"/>
            <w:tcMar>
              <w:top w:type="dxa" w:w="60"/>
              <w:left w:type="dxa" w:w="100"/>
              <w:bottom w:type="dxa" w:w="60"/>
              <w:right w:type="dxa" w:w="100"/>
            </w:tcMar>
          </w:tcPr>
          <w:p>
            <w:pPr>
              <w:spacing w:after="40"/>
            </w:pPr>
            <w:r>
              <w:rPr>
                <w:b w:val="false"/>
                <w:bCs w:val="false"/>
                <w:i w:val="false"/>
                <w:iCs w:val="false"/>
                <w:sz w:val="20"/>
                <w:szCs w:val="20"/>
              </w:rPr>
              <w:t xml:space="preserve">Raportul final al procedurii, adresa de acceptare și contactarea partenerului selectat</w:t>
            </w:r>
          </w:p>
        </w:tc>
        <w:tc>
          <w:tcPr>
            <w:tcW w:type="dxa" w:w="3826"/>
            <w:tcMar>
              <w:top w:type="dxa" w:w="60"/>
              <w:left w:type="dxa" w:w="100"/>
              <w:bottom w:type="dxa" w:w="60"/>
              <w:right w:type="dxa" w:w="100"/>
            </w:tcMar>
          </w:tcPr>
          <w:p>
            <w:pPr>
              <w:spacing w:after="40"/>
            </w:pPr>
            <w:r>
              <w:rPr>
                <w:b w:val="false"/>
                <w:bCs w:val="false"/>
                <w:i w:val="false"/>
                <w:iCs w:val="false"/>
                <w:sz w:val="20"/>
                <w:szCs w:val="20"/>
              </w:rPr>
              <w:t xml:space="preserve">joi, 10.09.2026</w:t>
            </w:r>
          </w:p>
        </w:tc>
      </w:tr>
    </w:tbl>
    <w:p>
      <w:pPr>
        <w:spacing w:after="100"/>
        <w:jc w:val="both"/>
      </w:pPr>
      <w:r>
        <w:rPr>
          <w:b w:val="false"/>
          <w:bCs w:val="false"/>
          <w:i w:val="false"/>
          <w:iCs w:val="false"/>
        </w:rPr>
        <w:t xml:space="preserve">Rezultatul se publică pe site-ul instituției, cu indicarea participanților admiși și respinși și a punctajelor obținute. Raportul final al procedurii, semnat de comisie și asumat de reprezentantul legal, cuprinde referințele, conținutul și anexele prevăzute de Anexa 2 la Ghidul Solicitantului — Condiții Generale, inclusiv nota justificativă privind valoarea adăugată a parteneriatului. Selectarea nu creează obligații pentru instituție dacă cererea de finanțare nu este selectată pentru finanțare.</w:t>
      </w:r>
    </w:p>
    <w:p>
      <w:pPr>
        <w:spacing w:after="100"/>
        <w:jc w:val="both"/>
      </w:pPr>
      <w:r>
        <w:rPr>
          <w:b w:val="false"/>
          <w:bCs w:val="false"/>
          <w:i w:val="false"/>
          <w:iCs w:val="false"/>
        </w:rPr>
        <w:t xml:space="preserve">Calendarul de mai sus asigură termenul minim de 10 zile lucrătoare pentru depunerea candidaturilor și se încadrează integral în termenul de depunere a cererilor de finanțare aferent apelului, prelungit până la 30.09.2026 prin Corrigendumul nr. 1 la Ghidul Solicitantului — Condiții Specifice. Procedura de selecție se finalizează, astfel, anterior depunerii cererii de finanțare, iar acordul de parteneriat se încheie cu candidatul declarat câștigător după publicarea rezultatului final.</w:t>
      </w:r>
    </w:p>
    <w:p>
      <w:pPr>
        <w:pStyle w:val="Heading1"/>
        <w:spacing w:after="120" w:before="260"/>
      </w:pPr>
      <w:r>
        <w:t xml:space="preserve">9. Mențiuni</w:t>
      </w:r>
    </w:p>
    <w:p>
      <w:pPr>
        <w:pStyle w:val="ListParagraph"/>
        <w:numPr>
          <w:ilvl w:val="0"/>
          <w:numId w:val="2"/>
        </w:numPr>
        <w:spacing w:after="60"/>
        <w:jc w:val="both"/>
      </w:pPr>
      <w:r>
        <w:rPr>
          <w:b w:val="false"/>
          <w:bCs w:val="false"/>
          <w:i w:val="false"/>
          <w:iCs w:val="false"/>
        </w:rPr>
        <w:t xml:space="preserve">Structura programelor de formare din proiect nu este finală, urmând a fi definitivată la depunerea cererii de finanțare. Întrucât dezvoltarea și furnizarea programelor de formare nu intră în responsabilitatea partenerului selectat, eventualele ajustări nu influențează prezenta procedură. Dimensiunea grupului-țintă poate suferi modificări, cu menținerea ordinului de mărime și cu ajustarea proporțională, după caz, a bugetului și a resurselor partenerului; natura activităților alocate partenerului nu se modifică.</w:t>
      </w:r>
    </w:p>
    <w:p>
      <w:pPr>
        <w:pStyle w:val="ListParagraph"/>
        <w:numPr>
          <w:ilvl w:val="0"/>
          <w:numId w:val="2"/>
        </w:numPr>
        <w:spacing w:after="60"/>
        <w:jc w:val="both"/>
      </w:pPr>
      <w:r>
        <w:rPr>
          <w:b w:val="false"/>
          <w:bCs w:val="false"/>
          <w:i w:val="false"/>
          <w:iCs w:val="false"/>
        </w:rPr>
        <w:t xml:space="preserve">Anexele publice ale anunțului: Anexa 1 — Cerere de participare; Anexa 2 — Grila de evaluare a eligibilității; Anexa 3 — Grila de evaluare calitativă; Anexa 4 — Declarația unică; Anexa 5 — Declarația CDFUE; Anexa 6 — Declarația CDPD; Anexa 7 — Fișa partenerului.</w:t>
      </w:r>
    </w:p>
    <w:p>
      <w:pPr>
        <w:pStyle w:val="ListParagraph"/>
        <w:numPr>
          <w:ilvl w:val="0"/>
          <w:numId w:val="2"/>
        </w:numPr>
        <w:spacing w:after="60"/>
        <w:jc w:val="both"/>
      </w:pPr>
      <w:r>
        <w:rPr>
          <w:b w:val="false"/>
          <w:bCs w:val="false"/>
          <w:i w:val="false"/>
          <w:iCs w:val="false"/>
        </w:rPr>
        <w:t xml:space="preserve">Documentele interne ale procedurii (proces-verbal, rezultate preliminare, rezultat final, adresa de acceptare, raportul final, decizia de constituire a comisiilor, declarațiile privind incompatibilitățile și conflictul de interese, scrisorile de informare, nota justificativă privind valoarea adăugată a parteneriatului) se întocmesc de comisie și se arhivează pentru verificarea Autorității de Management.</w:t>
      </w:r>
    </w:p>
    <w:sectPr>
      <w:headerReference w:type="default" r:id="rId8"/>
      <w:footerReference w:type="default" r:id="rId9"/>
      <w:pgSz w:w="11906" w:h="16838" w:orient="portrait"/>
      <w:pgMar w:top="2552" w:right="1134" w:bottom="1418" w:left="1134" w:header="454" w:footer="454"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upbFooter.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CC53" w14:textId="77777777" w:rsidR="00400904" w:rsidRDefault="004F65DC" w:rsidP="004F65DC">
    <w:pPr>
      <w:pStyle w:val="Footer"/>
      <w:tabs>
        <w:tab w:val="clear" w:pos="9360"/>
      </w:tabs>
    </w:pPr>
    <w:r>
      <w:tab/>
    </w:r>
    <w:r w:rsidR="00697934">
      <w:rPr>
        <w:noProof/>
        <w14:ligatures w14:val="standardContextual"/>
      </w:rPr>
      <w:drawing>
        <wp:inline distT="0" distB="0" distL="0" distR="0" wp14:anchorId="690D736E" wp14:editId="3EB2D34F">
          <wp:extent cx="5943600" cy="564515"/>
          <wp:effectExtent l="0" t="0" r="0" b="6985"/>
          <wp:docPr id="440775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01982" name="Picture 1927501982"/>
                  <pic:cNvPicPr/>
                </pic:nvPicPr>
                <pic:blipFill>
                  <a:blip r:embed="rId1">
                    <a:extLst>
                      <a:ext uri="{28A0092B-C50C-407E-A947-70E740481C1C}">
                        <a14:useLocalDpi xmlns:a14="http://schemas.microsoft.com/office/drawing/2010/main" val="0"/>
                      </a:ext>
                    </a:extLst>
                  </a:blip>
                  <a:stretch>
                    <a:fillRect/>
                  </a:stretch>
                </pic:blipFill>
                <pic:spPr>
                  <a:xfrm>
                    <a:off x="0" y="0"/>
                    <a:ext cx="5943600" cy="564515"/>
                  </a:xfrm>
                  <a:prstGeom prst="rect">
                    <a:avLst/>
                  </a:prstGeom>
                </pic:spPr>
              </pic:pic>
            </a:graphicData>
          </a:graphic>
        </wp:inline>
      </w:drawing>
    </w:r>
  </w:p>
</w:ftr>
</file>

<file path=word/upbHeader.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8EC6" w14:textId="77777777" w:rsidR="00697934" w:rsidRDefault="00EF431A">
    <w:pPr>
      <w:pStyle w:val="Header"/>
    </w:pPr>
    <w:sdt>
      <w:sdtPr>
        <w:id w:val="-263540669"/>
        <w:docPartObj>
          <w:docPartGallery w:val="Watermarks"/>
          <w:docPartUnique/>
        </w:docPartObj>
      </w:sdtPr>
      <w:sdtEndPr/>
      <w:sdtContent>
        <w:r>
          <w:rPr>
            <w:noProof/>
          </w:rPr>
          <w:pict w14:anchorId="1DA00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371.6pt;margin-top:313.75pt;width:232.45pt;height:34pt;rotation:270;z-index:-251658240;mso-wrap-edited:f;mso-width-percent:0;mso-height-percent:0;mso-position-horizontal-relative:margin;mso-position-vertical-relative:margin;mso-width-percent:0;mso-height-percent:0" o:allowincell="f" fillcolor="silver" stroked="f">
              <v:fill opacity=".5"/>
              <v:textpath style="font-family:&quot;Times New Roman&quot;;font-size:1pt" string="www.myupb.ro"/>
              <w10:wrap anchorx="margin" anchory="margin"/>
            </v:shape>
          </w:pict>
        </w:r>
      </w:sdtContent>
    </w:sdt>
    <w:r w:rsidR="00697934">
      <w:rPr>
        <w:noProof/>
        <w14:ligatures w14:val="standardContextual"/>
      </w:rPr>
      <w:drawing>
        <wp:inline distT="0" distB="0" distL="0" distR="0" wp14:anchorId="79B0EE85" wp14:editId="66AAB63D">
          <wp:extent cx="5943600" cy="1051560"/>
          <wp:effectExtent l="0" t="0" r="0" b="0"/>
          <wp:docPr id="306149953"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56686" name="Picture 2"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hdr>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upbHeader.xml"/><Relationship Id="rId9" Type="http://schemas.openxmlformats.org/officeDocument/2006/relationships/footer" Target="upbFooter.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upbFooter.xml.rels><?xml version="1.0" encoding="UTF-8" standalone="yes"?>
<Relationships xmlns="http://schemas.openxmlformats.org/package/2006/relationships"><Relationship Id="rId1" Type="http://schemas.openxmlformats.org/officeDocument/2006/relationships/image" Target="media/upbSubsol.png"/></Relationships>
</file>

<file path=word/_rels/upbHeader.xml.rels><?xml version="1.0" encoding="UTF-8" standalone="yes"?>
<Relationships xmlns="http://schemas.openxmlformats.org/package/2006/relationships"><Relationship Id="rId1" Type="http://schemas.openxmlformats.org/officeDocument/2006/relationships/image" Target="media/upbAntet.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2026-08-07T11:33:11.604Z</dcterms:created>
  <dcterms:modified xsi:type="dcterms:W3CDTF">2026-08-07T11:33:11.604Z</dcterms:modified>
</cp:coreProperties>
</file>

<file path=docProps/custom.xml><?xml version="1.0" encoding="utf-8"?>
<Properties xmlns="http://schemas.openxmlformats.org/officeDocument/2006/custom-properties" xmlns:vt="http://schemas.openxmlformats.org/officeDocument/2006/docPropsVTypes"/>
</file>